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ind w:firstLine="4188" w:firstLineChars="1490"/>
        <w:jc w:val="both"/>
        <w:textAlignment w:val="auto"/>
        <w:rPr>
          <w:b/>
          <w:sz w:val="28"/>
          <w:szCs w:val="28"/>
        </w:rPr>
      </w:pPr>
      <w:r>
        <w:rPr>
          <w:rFonts w:hint="eastAsia"/>
          <w:b/>
          <w:snapToGrid/>
          <w:sz w:val="28"/>
          <w:szCs w:val="28"/>
        </w:rPr>
        <mc:AlternateContent>
          <mc:Choice Requires="wps">
            <w:drawing>
              <wp:anchor distT="0" distB="0" distL="114300" distR="114300" simplePos="0" relativeHeight="251658240" behindDoc="0" locked="0" layoutInCell="1" allowOverlap="1">
                <wp:simplePos x="0" y="0"/>
                <wp:positionH relativeFrom="margin">
                  <wp:posOffset>-605790</wp:posOffset>
                </wp:positionH>
                <wp:positionV relativeFrom="paragraph">
                  <wp:posOffset>323850</wp:posOffset>
                </wp:positionV>
                <wp:extent cx="6962775" cy="924560"/>
                <wp:effectExtent l="0" t="0" r="0" b="0"/>
                <wp:wrapSquare wrapText="bothSides"/>
                <wp:docPr id="2" name="文本框 2"/>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962775" cy="924560"/>
                        </a:xfrm>
                        <a:prstGeom prst="rect">
                          <a:avLst/>
                        </a:prstGeom>
                      </wps:spPr>
                      <wps:txbx>
                        <w:txbxContent>
                          <w:p>
                            <w:pPr>
                              <w:pStyle w:val="9"/>
                              <w:spacing w:before="0" w:beforeAutospacing="0" w:after="0" w:afterAutospacing="0"/>
                              <w:jc w:val="center"/>
                              <w:rPr>
                                <w:w w:val="90"/>
                              </w:rPr>
                            </w:pPr>
                            <w:r>
                              <w:rPr>
                                <w:rFonts w:hint="eastAsia"/>
                                <w:color w:val="FF0000"/>
                                <w:w w:val="90"/>
                                <w:sz w:val="72"/>
                                <w:szCs w:val="72"/>
                                <w14:shadow w14:blurRad="0" w14:dist="35941" w14:dir="2700000" w14:sx="100000" w14:sy="100000" w14:kx="0" w14:ky="0" w14:algn="ctr">
                                  <w14:srgbClr w14:val="990000"/>
                                </w14:shadow>
                                <w14:textOutline w14:w="19050" w14:cap="flat" w14:cmpd="sng" w14:algn="ctr">
                                  <w14:solidFill>
                                    <w14:srgbClr w14:val="FF0000"/>
                                  </w14:solidFill>
                                  <w14:prstDash w14:val="solid"/>
                                  <w14:round/>
                                </w14:textOutline>
                              </w:rPr>
                              <w:t>中共南昌大学共青学院委员会文件</w:t>
                            </w:r>
                          </w:p>
                        </w:txbxContent>
                      </wps:txbx>
                      <wps:bodyPr wrap="square" numCol="1" fromWordArt="1">
                        <a:prstTxWarp prst="textPlain">
                          <a:avLst>
                            <a:gd name="adj" fmla="val 50000"/>
                          </a:avLst>
                        </a:prstTxWarp>
                        <a:spAutoFit/>
                      </wps:bodyPr>
                    </wps:wsp>
                  </a:graphicData>
                </a:graphic>
              </wp:anchor>
            </w:drawing>
          </mc:Choice>
          <mc:Fallback>
            <w:pict>
              <v:shape id="_x0000_s1026" o:spid="_x0000_s1026" o:spt="202" type="#_x0000_t202" style="position:absolute;left:0pt;margin-left:-47.7pt;margin-top:25.5pt;height:72.8pt;width:548.25pt;mso-position-horizontal-relative:margin;mso-wrap-distance-bottom:0pt;mso-wrap-distance-left:9pt;mso-wrap-distance-right:9pt;mso-wrap-distance-top:0pt;z-index:251658240;mso-width-relative:page;mso-height-relative:page;" filled="f" stroked="f" coordsize="21600,21600" o:gfxdata="UEsDBAoAAAAAAIdO4kAAAAAAAAAAAAAAAAAEAAAAZHJzL1BLAwQUAAAACACHTuJAWbH2dtUAAAAG&#10;AQAADwAAAGRycy9kb3ducmV2LnhtbE2PzWrDMBCE74W+g9hCLiGRUmqTuJZDCfQSCDRpaa8ba2ub&#10;WCsjKX9vX6WX9rLMMsvMt+XyYntxIh86xxpmUwWCuHam40bDx/vrZA4iRGSDvWPScKUAy+r+rsTC&#10;uDNv6bSLjUghHArU0MY4FFKGuiWLYeoG4uR9O28xptU30ng8p3Dby0elcmmx49TQ4kCrlurD7mg1&#10;vAz+Ew/2zdLiy4xX463cZGup9ehhpp5BRLrEv2O44Sd0qBLT3h3ZBNFrSI/E33nz1CLPQOyTespy&#10;kFUp/+NXP1BLAwQUAAAACACHTuJARl+QoQkCAADbAwAADgAAAGRycy9lMm9Eb2MueG1srVPBctMw&#10;EL0zwz9odKdOPCSlnjid0FIuBTrTMD1vJDk2WFohKbHzA/QPOHHhznflO1gpTujAjcEHjS2t3r73&#10;9nl22euWbZXzDZqSj89GnCkjUDZmXfKPy5sXrzjzAYyEFo0q+U55fjl//mzW2ULlWGMrlWMEYnzR&#10;2ZLXIdgiy7yolQZ/hlYZOqzQaQj06daZdNARum6zfDSaZh06aR0K5T3tXh8O+TzhV5US4UNVeRVY&#10;W3LiFtLq0rqKazafQbF2YOtGDDTgH1hoaAw1PUFdQwC2cc1fULoRDj1W4UygzrCqGqGSBlIzHv2h&#10;5r4Gq5IWMsfbk03+/8GK99s7xxpZ8pwzA5pGtP/2uP/+c//jK8ujPZ31BVXdW6oL/WvsacxJqre3&#10;KD57ZvCqBrNWC+ewqxVIojcmsGE7iVjuLCGn3aXqwxvZ0CTGET57gn9o5mOnVfcOJV2BTcDUra+c&#10;jgaTZYwo0Cx3p/kRIhO0Ob2Y5ufnE84EnV3kLyfTNOAMiuNt63x4q1Cz+FJyR/lI6LC99SGygeJY&#10;MlCLbA68Qr/qBz9WKHdEsqPclNx/2YBTJHijr5BiRiorh/qBgrlwSWbkHWGX/QM4O/QOxPquPeYm&#10;EUgBksMYQH4iIN1SHLfQssmInmQYFEPxQPaAGu96uyC7bpqkJPp64DkooQQlgUPaY0Sffqeq3//k&#10;/B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ZsfZ21QAAAAYBAAAPAAAAAAAAAAEAIAAAACIAAABk&#10;cnMvZG93bnJldi54bWxQSwECFAAUAAAACACHTuJARl+QoQkCAADbAwAADgAAAAAAAAABACAAAAAk&#10;AQAAZHJzL2Uyb0RvYy54bWxQSwUGAAAAAAYABgBZAQAAnwUAAAAA&#10;" adj="10800">
                <v:fill on="f" focussize="0,0"/>
                <v:stroke on="f"/>
                <v:imagedata o:title=""/>
                <o:lock v:ext="edit" text="t" aspectratio="f"/>
                <v:textbox style="mso-fit-shape-to-text:t;">
                  <w:txbxContent>
                    <w:p>
                      <w:pPr>
                        <w:pStyle w:val="9"/>
                        <w:spacing w:before="0" w:beforeAutospacing="0" w:after="0" w:afterAutospacing="0"/>
                        <w:jc w:val="center"/>
                        <w:rPr>
                          <w:w w:val="90"/>
                        </w:rPr>
                      </w:pPr>
                      <w:r>
                        <w:rPr>
                          <w:rFonts w:hint="eastAsia"/>
                          <w:color w:val="FF0000"/>
                          <w:w w:val="90"/>
                          <w:sz w:val="72"/>
                          <w:szCs w:val="72"/>
                          <w14:shadow w14:blurRad="0" w14:dist="35941" w14:dir="2700000" w14:sx="100000" w14:sy="100000" w14:kx="0" w14:ky="0" w14:algn="ctr">
                            <w14:srgbClr w14:val="990000"/>
                          </w14:shadow>
                          <w14:textOutline w14:w="19050" w14:cap="flat" w14:cmpd="sng" w14:algn="ctr">
                            <w14:solidFill>
                              <w14:srgbClr w14:val="FF0000"/>
                            </w14:solidFill>
                            <w14:prstDash w14:val="solid"/>
                            <w14:round/>
                          </w14:textOutline>
                        </w:rPr>
                        <w:t>中共南昌大学共青学院委员会文件</w:t>
                      </w:r>
                    </w:p>
                  </w:txbxContent>
                </v:textbox>
                <w10:wrap type="square"/>
              </v:shape>
            </w:pict>
          </mc:Fallback>
        </mc:AlternateContent>
      </w:r>
    </w:p>
    <w:p>
      <w:pPr>
        <w:pageBreakBefore w:val="0"/>
        <w:kinsoku/>
        <w:wordWrap/>
        <w:overflowPunct/>
        <w:topLinePunct w:val="0"/>
        <w:autoSpaceDE/>
        <w:autoSpaceDN/>
        <w:bidi w:val="0"/>
        <w:adjustRightInd/>
        <w:snapToGrid/>
        <w:spacing w:line="560" w:lineRule="exact"/>
        <w:jc w:val="center"/>
        <w:textAlignment w:val="auto"/>
        <w:rPr>
          <w:rFonts w:ascii="华文仿宋" w:hAnsi="华文仿宋" w:eastAsia="华文仿宋"/>
          <w:szCs w:val="32"/>
        </w:rPr>
      </w:pPr>
      <w:r>
        <w:rPr>
          <w:rFonts w:hint="eastAsia" w:ascii="华文仿宋" w:hAnsi="华文仿宋" w:eastAsia="华文仿宋"/>
          <w:szCs w:val="32"/>
        </w:rPr>
        <w:t>共院党发〔201</w:t>
      </w:r>
      <w:r>
        <w:rPr>
          <w:rFonts w:ascii="华文仿宋" w:hAnsi="华文仿宋" w:eastAsia="华文仿宋"/>
          <w:szCs w:val="32"/>
        </w:rPr>
        <w:t>9</w:t>
      </w:r>
      <w:r>
        <w:rPr>
          <w:rFonts w:hint="eastAsia" w:ascii="华文仿宋" w:hAnsi="华文仿宋" w:eastAsia="华文仿宋"/>
          <w:szCs w:val="32"/>
        </w:rPr>
        <w:t>〕</w:t>
      </w:r>
      <w:r>
        <w:rPr>
          <w:rFonts w:hint="eastAsia" w:ascii="华文仿宋" w:hAnsi="华文仿宋" w:eastAsia="华文仿宋"/>
          <w:szCs w:val="32"/>
          <w:lang w:val="en-US" w:eastAsia="zh-CN"/>
        </w:rPr>
        <w:t>24</w:t>
      </w:r>
      <w:r>
        <w:rPr>
          <w:rFonts w:hint="eastAsia" w:ascii="华文仿宋" w:hAnsi="华文仿宋" w:eastAsia="华文仿宋"/>
          <w:szCs w:val="32"/>
        </w:rPr>
        <w:t>号</w:t>
      </w:r>
    </w:p>
    <w:p>
      <w:pPr>
        <w:pageBreakBefore w:val="0"/>
        <w:kinsoku/>
        <w:wordWrap/>
        <w:overflowPunct/>
        <w:topLinePunct w:val="0"/>
        <w:autoSpaceDE/>
        <w:autoSpaceDN/>
        <w:bidi w:val="0"/>
        <w:adjustRightInd/>
        <w:snapToGrid/>
        <w:spacing w:line="560" w:lineRule="exact"/>
        <w:ind w:firstLine="4480" w:firstLineChars="1400"/>
        <w:jc w:val="both"/>
        <w:textAlignment w:val="auto"/>
      </w:pPr>
      <w:r>
        <mc:AlternateContent>
          <mc:Choice Requires="wps">
            <w:drawing>
              <wp:anchor distT="0" distB="0" distL="114300" distR="114300" simplePos="0" relativeHeight="251661312" behindDoc="0" locked="0" layoutInCell="1" allowOverlap="1">
                <wp:simplePos x="0" y="0"/>
                <wp:positionH relativeFrom="column">
                  <wp:posOffset>-165735</wp:posOffset>
                </wp:positionH>
                <wp:positionV relativeFrom="paragraph">
                  <wp:posOffset>319405</wp:posOffset>
                </wp:positionV>
                <wp:extent cx="2924175" cy="635"/>
                <wp:effectExtent l="0" t="19050" r="28575" b="37465"/>
                <wp:wrapNone/>
                <wp:docPr id="3" name="直接箭头连接符 3"/>
                <wp:cNvGraphicFramePr/>
                <a:graphic xmlns:a="http://schemas.openxmlformats.org/drawingml/2006/main">
                  <a:graphicData uri="http://schemas.microsoft.com/office/word/2010/wordprocessingShape">
                    <wps:wsp>
                      <wps:cNvCnPr/>
                      <wps:spPr>
                        <a:xfrm>
                          <a:off x="0" y="0"/>
                          <a:ext cx="2924175" cy="635"/>
                        </a:xfrm>
                        <a:prstGeom prst="straightConnector1">
                          <a:avLst/>
                        </a:prstGeom>
                        <a:ln w="34925"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3.05pt;margin-top:25.15pt;height:0.05pt;width:230.25pt;z-index:251661312;mso-width-relative:page;mso-height-relative:page;" filled="f" stroked="t" coordsize="21600,21600" o:gfxdata="UEsDBAoAAAAAAIdO4kAAAAAAAAAAAAAAAAAEAAAAZHJzL1BLAwQUAAAACACHTuJAIj6Y5NcAAAAJ&#10;AQAADwAAAGRycy9kb3ducmV2LnhtbE2PQU7DMBBF90jcwRokdq2dNkSQxukCBI3UVQsHcOJpHBGP&#10;I9tNy+1xV7Ccmac/71fbqx3ZjD4MjiRkSwEMqXN6oF7C1+f74hlYiIq0Gh2hhB8MsK3v7ypVaneh&#10;A87H2LMUQqFUEkyMU8l56AxaFZZuQkq3k/NWxTT6nmuvLincjnwlRMGtGih9MGrCV4Pd9/FsJTRz&#10;dth3jXE72xcfO/vmm5d9K+XjQyY2wCJe4x8MN/2kDnVyat2ZdGCjhMWqyBIq4UmsgSUgX+c5sPa2&#10;yIHXFf/foP4FUEsDBBQAAAAIAIdO4kAuzdXd6wEAAK8DAAAOAAAAZHJzL2Uyb0RvYy54bWytU82O&#10;0zAQviPxDpbvNGm6u7BR0z20lAuCSsADTG0nseQ/2aZpX4IXQOIEnIDT3nkaWB6DsRvKAheEyMGZ&#10;8cx8nu/zeH6114rshA/SmoZOJyUlwjDLpeka+uL5+t4DSkIEw0FZIxp6EIFeLe7emQ+uFpXtreLC&#10;EwQxoR5cQ/sYXV0UgfVCQ5hYJwwGW+s1RHR9V3APA6JrVVRleVEM1nPnLRMh4O7qGKSLjN+2gsWn&#10;bRtEJKqh2FvMq8/rNq3FYg5158H1ko1twD90oUEaPPQEtYII5KWXf0BpybwNto0TZnVh21YykTkg&#10;m2n5G5tnPTiRuaA4wZ1kCv8Plj3ZbTyRvKEzSgxovKKb19dfX727+fTxy9vrb5/fJPvDezJLUg0u&#10;1FixNBs/esFtfOK9b71Of2RE9lnew0lesY+E4WZ1WZ1N759TwjB2MTtPiMXPUudDfCSsJsloaIge&#10;ZNfHpTUGr9H6aRYYdo9DPBb+KEjnKkMG5HB2WSV8wElqFUQ0tUNuwXS5OFgl+VoqlUqC77ZL5ckO&#10;cDbW6xK/saNf0tIpKwj9MS+HUhrUvQD+0HASDw5VMzjeNPWgBadECXwNycqZEaT6m0wUQ5kELfLk&#10;jkST6EeZk7W1/JDVL5KHU5E1HCc4jd1tH+3b72zxH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I+&#10;mOTXAAAACQEAAA8AAAAAAAAAAQAgAAAAIgAAAGRycy9kb3ducmV2LnhtbFBLAQIUABQAAAAIAIdO&#10;4kAuzdXd6wEAAK8DAAAOAAAAAAAAAAEAIAAAACYBAABkcnMvZTJvRG9jLnhtbFBLBQYAAAAABgAG&#10;AFkBAACDBQAAAAA=&#10;">
                <v:fill on="f" focussize="0,0"/>
                <v:stroke weight="2.75pt" color="#FF0000" joinstyle="round"/>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3177540</wp:posOffset>
                </wp:positionH>
                <wp:positionV relativeFrom="paragraph">
                  <wp:posOffset>318770</wp:posOffset>
                </wp:positionV>
                <wp:extent cx="2924175" cy="635"/>
                <wp:effectExtent l="0" t="19050" r="28575" b="37465"/>
                <wp:wrapNone/>
                <wp:docPr id="4" name="直接箭头连接符 4"/>
                <wp:cNvGraphicFramePr/>
                <a:graphic xmlns:a="http://schemas.openxmlformats.org/drawingml/2006/main">
                  <a:graphicData uri="http://schemas.microsoft.com/office/word/2010/wordprocessingShape">
                    <wps:wsp>
                      <wps:cNvCnPr/>
                      <wps:spPr>
                        <a:xfrm>
                          <a:off x="0" y="0"/>
                          <a:ext cx="2924175" cy="635"/>
                        </a:xfrm>
                        <a:prstGeom prst="straightConnector1">
                          <a:avLst/>
                        </a:prstGeom>
                        <a:ln w="34925"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50.2pt;margin-top:25.1pt;height:0.05pt;width:230.25pt;z-index:251660288;mso-width-relative:page;mso-height-relative:page;" filled="f" stroked="t" coordsize="21600,21600" o:gfxdata="UEsDBAoAAAAAAIdO4kAAAAAAAAAAAAAAAAAEAAAAZHJzL1BLAwQUAAAACACHTuJAgxQw79UAAAAJ&#10;AQAADwAAAGRycy9kb3ducmV2LnhtbE2PTU7DMBBG90jcwRokdtROgagJcboAQSN11cIBnHgaR8Tj&#10;yHbTcnucFezm5+mbN9X2akc2ow+DIwnZSgBD6pweqJfw9fn+sAEWoiKtRkco4QcDbOvbm0qV2l3o&#10;gPMx9iyFUCiVBBPjVHIeOoNWhZWbkNLu5LxVMbW+59qrSwq3I18LkXOrBkoXjJrw1WD3fTxbCc2c&#10;HfZdY9zO9vnHzr75pti3Ut7fZeIFWMRr/INh0U/qUCen1p1JBzZKeBbiKaFLsQaWgCIXBbB2GTwC&#10;ryv+/4P6F1BLAwQUAAAACACHTuJABC1tNuwBAACvAwAADgAAAGRycy9lMm9Eb2MueG1srVPNjtMw&#10;EL4j8Q6W7zRptruwUdM9tJQLgkrAA0xtJ7HkP9mmaV+CF0DiBJyA0955Glgeg7EbygIXhMjBmfHM&#10;fJ7v83h+tdeK7IQP0pqGTiclJcIwy6XpGvri+freA0pCBMNBWSMaehCBXi3u3pkPrhaV7a3iwhME&#10;MaEeXEP7GF1dFIH1QkOYWCcMBlvrNUR0fVdwDwOia1VUZXlRDNZz5y0TIeDu6hiki4zftoLFp20b&#10;RCSqodhbzKvP6zatxWIOdefB9ZKNbcA/dKFBGjz0BLWCCOSll39Aacm8DbaNE2Z1YdtWMpE5IJtp&#10;+RubZz04kbmgOMGdZAr/D5Y92W08kbyhM0oMaLyim9fXX1+9u/n08cvb62+f3yT7w3syS1INLtRY&#10;sTQbP3rBbXzivW+9Tn9kRPZZ3sNJXrGPhOFmdVnNpvfPKWEYuzg7T4jFz1LnQ3wkrCbJaGiIHmTX&#10;x6U1Bq/R+mkWGHaPQzwW/ihI5ypDhoaezS6rhA84Sa2CiKZ2yC2YLhcHqyRfS6VSSfDddqk82QHO&#10;xnpd4jd29EtaOmUFoT/m5VBKg7oXwB8aTuLBoWoGx5umHrTglCiBryFZOTOCVH+TiWIok6BFntyR&#10;aBL9KHOytpYfsvpF8nAqsobjBKexu+2jffudLb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xQw&#10;79UAAAAJAQAADwAAAAAAAAABACAAAAAiAAAAZHJzL2Rvd25yZXYueG1sUEsBAhQAFAAAAAgAh07i&#10;QAQtbTbsAQAArwMAAA4AAAAAAAAAAQAgAAAAJAEAAGRycy9lMm9Eb2MueG1sUEsFBgAAAAAGAAYA&#10;WQEAAIIFAAAAAA==&#10;">
                <v:fill on="f" focussize="0,0"/>
                <v:stroke weight="2.75pt" color="#FF0000" joinstyle="round"/>
                <v:imagedata o:title=""/>
                <o:lock v:ext="edit" aspectratio="f"/>
              </v:shape>
            </w:pict>
          </mc:Fallback>
        </mc:AlternateContent>
      </w:r>
      <w:r>
        <w:rPr>
          <w:rFonts w:hint="eastAsia" w:ascii="宋体"/>
          <w:color w:val="FF0000"/>
          <w:sz w:val="36"/>
          <w:szCs w:val="36"/>
        </w:rPr>
        <w:t>★</w:t>
      </w:r>
    </w:p>
    <w:p>
      <w:pPr>
        <w:pStyle w:val="2"/>
        <w:pageBreakBefore w:val="0"/>
        <w:kinsoku/>
        <w:wordWrap/>
        <w:overflowPunct/>
        <w:topLinePunct w:val="0"/>
        <w:autoSpaceDE/>
        <w:autoSpaceDN/>
        <w:bidi w:val="0"/>
        <w:adjustRightInd/>
        <w:snapToGrid/>
        <w:spacing w:before="0" w:after="0" w:line="560" w:lineRule="exact"/>
        <w:jc w:val="center"/>
        <w:textAlignment w:val="auto"/>
        <w:rPr>
          <w:rFonts w:hint="eastAsia" w:ascii="宋体" w:hAnsi="宋体" w:eastAsia="宋体" w:cstheme="majorEastAsia"/>
          <w:bCs w:val="0"/>
          <w:color w:val="000000" w:themeColor="text1"/>
          <w:w w:val="90"/>
          <w:sz w:val="44"/>
          <w:szCs w:val="44"/>
          <w14:textFill>
            <w14:solidFill>
              <w14:schemeClr w14:val="tx1"/>
            </w14:solidFill>
          </w14:textFill>
        </w:rPr>
      </w:pPr>
    </w:p>
    <w:p>
      <w:pPr>
        <w:pStyle w:val="2"/>
        <w:pageBreakBefore w:val="0"/>
        <w:kinsoku/>
        <w:wordWrap/>
        <w:overflowPunct/>
        <w:topLinePunct w:val="0"/>
        <w:autoSpaceDE/>
        <w:autoSpaceDN/>
        <w:bidi w:val="0"/>
        <w:adjustRightInd/>
        <w:snapToGrid/>
        <w:spacing w:before="0" w:after="0" w:line="560" w:lineRule="exact"/>
        <w:jc w:val="center"/>
        <w:textAlignment w:val="auto"/>
        <w:rPr>
          <w:rFonts w:ascii="宋体" w:hAnsi="宋体" w:eastAsia="宋体" w:cstheme="majorEastAsia"/>
          <w:bCs w:val="0"/>
          <w:color w:val="000000" w:themeColor="text1"/>
          <w:w w:val="90"/>
          <w:sz w:val="44"/>
          <w:szCs w:val="44"/>
          <w14:textFill>
            <w14:solidFill>
              <w14:schemeClr w14:val="tx1"/>
            </w14:solidFill>
          </w14:textFill>
        </w:rPr>
      </w:pPr>
      <w:r>
        <w:rPr>
          <w:rFonts w:hint="eastAsia" w:ascii="宋体" w:hAnsi="宋体" w:eastAsia="宋体" w:cstheme="majorEastAsia"/>
          <w:bCs w:val="0"/>
          <w:color w:val="000000" w:themeColor="text1"/>
          <w:w w:val="90"/>
          <w:sz w:val="44"/>
          <w:szCs w:val="44"/>
          <w14:textFill>
            <w14:solidFill>
              <w14:schemeClr w14:val="tx1"/>
            </w14:solidFill>
          </w14:textFill>
        </w:rPr>
        <w:t>中共南昌大学共青学院委员会关于印发</w:t>
      </w:r>
    </w:p>
    <w:p>
      <w:pPr>
        <w:pStyle w:val="2"/>
        <w:pageBreakBefore w:val="0"/>
        <w:kinsoku/>
        <w:wordWrap/>
        <w:overflowPunct/>
        <w:topLinePunct w:val="0"/>
        <w:autoSpaceDE/>
        <w:autoSpaceDN/>
        <w:bidi w:val="0"/>
        <w:adjustRightInd/>
        <w:snapToGrid/>
        <w:spacing w:before="0" w:after="0" w:line="560" w:lineRule="exact"/>
        <w:jc w:val="center"/>
        <w:textAlignment w:val="auto"/>
        <w:rPr>
          <w:rFonts w:ascii="宋体" w:hAnsi="宋体" w:eastAsia="宋体" w:cstheme="majorEastAsia"/>
          <w:bCs w:val="0"/>
          <w:color w:val="000000" w:themeColor="text1"/>
          <w:w w:val="90"/>
          <w:sz w:val="44"/>
          <w:szCs w:val="44"/>
          <w14:textFill>
            <w14:solidFill>
              <w14:schemeClr w14:val="tx1"/>
            </w14:solidFill>
          </w14:textFill>
        </w:rPr>
      </w:pPr>
      <w:r>
        <w:rPr>
          <w:rFonts w:hint="eastAsia" w:ascii="宋体" w:hAnsi="宋体" w:eastAsia="宋体" w:cstheme="majorEastAsia"/>
          <w:bCs w:val="0"/>
          <w:color w:val="000000" w:themeColor="text1"/>
          <w:w w:val="90"/>
          <w:sz w:val="44"/>
          <w:szCs w:val="44"/>
          <w14:textFill>
            <w14:solidFill>
              <w14:schemeClr w14:val="tx1"/>
            </w14:solidFill>
          </w14:textFill>
        </w:rPr>
        <w:t>《</w:t>
      </w:r>
      <w:r>
        <w:rPr>
          <w:rFonts w:ascii="宋体" w:hAnsi="宋体" w:eastAsia="宋体" w:cstheme="majorEastAsia"/>
          <w:bCs w:val="0"/>
          <w:color w:val="000000" w:themeColor="text1"/>
          <w:w w:val="90"/>
          <w:sz w:val="44"/>
          <w:szCs w:val="44"/>
          <w14:textFill>
            <w14:solidFill>
              <w14:schemeClr w14:val="tx1"/>
            </w14:solidFill>
          </w14:textFill>
        </w:rPr>
        <w:t>南昌大学共青学院</w:t>
      </w:r>
      <w:r>
        <w:rPr>
          <w:rFonts w:hint="eastAsia" w:ascii="宋体" w:hAnsi="宋体" w:eastAsia="宋体" w:cstheme="majorEastAsia"/>
          <w:bCs w:val="0"/>
          <w:color w:val="000000" w:themeColor="text1"/>
          <w:w w:val="90"/>
          <w:sz w:val="44"/>
          <w:szCs w:val="44"/>
          <w14:textFill>
            <w14:solidFill>
              <w14:schemeClr w14:val="tx1"/>
            </w14:solidFill>
          </w14:textFill>
        </w:rPr>
        <w:t>学生</w:t>
      </w:r>
      <w:r>
        <w:rPr>
          <w:rFonts w:ascii="宋体" w:hAnsi="宋体" w:eastAsia="宋体" w:cstheme="majorEastAsia"/>
          <w:bCs w:val="0"/>
          <w:color w:val="000000" w:themeColor="text1"/>
          <w:w w:val="90"/>
          <w:sz w:val="44"/>
          <w:szCs w:val="44"/>
          <w14:textFill>
            <w14:solidFill>
              <w14:schemeClr w14:val="tx1"/>
            </w14:solidFill>
          </w14:textFill>
        </w:rPr>
        <w:t>党员发展工作操作程序（</w:t>
      </w:r>
      <w:r>
        <w:rPr>
          <w:rFonts w:hint="eastAsia" w:ascii="宋体" w:hAnsi="宋体" w:eastAsia="宋体" w:cstheme="majorEastAsia"/>
          <w:bCs w:val="0"/>
          <w:color w:val="000000" w:themeColor="text1"/>
          <w:w w:val="90"/>
          <w:sz w:val="44"/>
          <w:szCs w:val="44"/>
          <w14:textFill>
            <w14:solidFill>
              <w14:schemeClr w14:val="tx1"/>
            </w14:solidFill>
          </w14:textFill>
        </w:rPr>
        <w:t>2</w:t>
      </w:r>
      <w:r>
        <w:rPr>
          <w:rFonts w:ascii="宋体" w:hAnsi="宋体" w:eastAsia="宋体" w:cstheme="majorEastAsia"/>
          <w:bCs w:val="0"/>
          <w:color w:val="000000" w:themeColor="text1"/>
          <w:w w:val="90"/>
          <w:sz w:val="44"/>
          <w:szCs w:val="44"/>
          <w14:textFill>
            <w14:solidFill>
              <w14:schemeClr w14:val="tx1"/>
            </w14:solidFill>
          </w14:textFill>
        </w:rPr>
        <w:t>019</w:t>
      </w:r>
      <w:r>
        <w:rPr>
          <w:rFonts w:hint="eastAsia" w:ascii="宋体" w:hAnsi="宋体" w:eastAsia="宋体" w:cstheme="majorEastAsia"/>
          <w:bCs w:val="0"/>
          <w:color w:val="000000" w:themeColor="text1"/>
          <w:w w:val="90"/>
          <w:sz w:val="44"/>
          <w:szCs w:val="44"/>
          <w14:textFill>
            <w14:solidFill>
              <w14:schemeClr w14:val="tx1"/>
            </w14:solidFill>
          </w14:textFill>
        </w:rPr>
        <w:t>年</w:t>
      </w:r>
      <w:r>
        <w:rPr>
          <w:rFonts w:ascii="宋体" w:hAnsi="宋体" w:eastAsia="宋体" w:cstheme="majorEastAsia"/>
          <w:bCs w:val="0"/>
          <w:color w:val="000000" w:themeColor="text1"/>
          <w:w w:val="90"/>
          <w:sz w:val="44"/>
          <w:szCs w:val="44"/>
          <w14:textFill>
            <w14:solidFill>
              <w14:schemeClr w14:val="tx1"/>
            </w14:solidFill>
          </w14:textFill>
        </w:rPr>
        <w:t>修订）》的通知</w:t>
      </w:r>
    </w:p>
    <w:p>
      <w:pPr>
        <w:pStyle w:val="2"/>
        <w:pageBreakBefore w:val="0"/>
        <w:kinsoku/>
        <w:wordWrap/>
        <w:overflowPunct/>
        <w:topLinePunct w:val="0"/>
        <w:autoSpaceDE/>
        <w:autoSpaceDN/>
        <w:bidi w:val="0"/>
        <w:adjustRightInd/>
        <w:snapToGrid/>
        <w:spacing w:before="0" w:after="0" w:line="560" w:lineRule="exact"/>
        <w:jc w:val="both"/>
        <w:textAlignment w:val="auto"/>
        <w:rPr>
          <w:rFonts w:ascii="仿宋" w:hAnsi="仿宋" w:eastAsia="仿宋" w:cstheme="majorEastAsia"/>
          <w:b w:val="0"/>
          <w:bCs w:val="0"/>
          <w:color w:val="000000" w:themeColor="text1"/>
          <w:w w:val="90"/>
          <w14:textFill>
            <w14:solidFill>
              <w14:schemeClr w14:val="tx1"/>
            </w14:solidFill>
          </w14:textFill>
        </w:rPr>
      </w:pPr>
    </w:p>
    <w:p>
      <w:pPr>
        <w:pStyle w:val="2"/>
        <w:pageBreakBefore w:val="0"/>
        <w:kinsoku/>
        <w:wordWrap/>
        <w:overflowPunct/>
        <w:topLinePunct w:val="0"/>
        <w:autoSpaceDE/>
        <w:autoSpaceDN/>
        <w:bidi w:val="0"/>
        <w:adjustRightInd/>
        <w:snapToGrid/>
        <w:spacing w:before="0" w:after="0" w:line="560" w:lineRule="exact"/>
        <w:jc w:val="both"/>
        <w:textAlignment w:val="auto"/>
        <w:rPr>
          <w:rFonts w:hint="eastAsia" w:ascii="仿宋" w:hAnsi="仿宋" w:eastAsia="仿宋" w:cs="仿宋"/>
          <w:b w:val="0"/>
          <w:bCs w:val="0"/>
          <w:snapToGrid w:val="0"/>
          <w:color w:val="auto"/>
          <w:kern w:val="0"/>
          <w:sz w:val="32"/>
          <w:szCs w:val="32"/>
          <w:lang w:val="en-US" w:eastAsia="zh-CN" w:bidi="ar-SA"/>
        </w:rPr>
      </w:pPr>
      <w:r>
        <w:rPr>
          <w:rFonts w:hint="eastAsia" w:ascii="仿宋" w:hAnsi="仿宋" w:eastAsia="仿宋" w:cs="仿宋"/>
          <w:b w:val="0"/>
          <w:bCs w:val="0"/>
          <w:snapToGrid w:val="0"/>
          <w:color w:val="auto"/>
          <w:kern w:val="0"/>
          <w:sz w:val="32"/>
          <w:szCs w:val="32"/>
          <w:lang w:val="en-US" w:eastAsia="zh-CN" w:bidi="ar-SA"/>
        </w:rPr>
        <w:t>院内各基层党组织：</w:t>
      </w:r>
    </w:p>
    <w:p>
      <w:pPr>
        <w:pStyle w:val="2"/>
        <w:pageBreakBefore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 w:hAnsi="仿宋" w:eastAsia="仿宋" w:cs="仿宋"/>
          <w:b w:val="0"/>
          <w:bCs w:val="0"/>
          <w:snapToGrid w:val="0"/>
          <w:color w:val="auto"/>
          <w:kern w:val="0"/>
          <w:sz w:val="32"/>
          <w:szCs w:val="32"/>
          <w:lang w:val="en-US" w:eastAsia="zh-CN" w:bidi="ar-SA"/>
        </w:rPr>
      </w:pPr>
      <w:r>
        <w:rPr>
          <w:rFonts w:hint="eastAsia" w:ascii="仿宋" w:hAnsi="仿宋" w:eastAsia="仿宋" w:cs="仿宋"/>
          <w:b w:val="0"/>
          <w:bCs w:val="0"/>
          <w:snapToGrid w:val="0"/>
          <w:color w:val="auto"/>
          <w:kern w:val="0"/>
          <w:sz w:val="32"/>
          <w:szCs w:val="32"/>
          <w:lang w:val="en-US" w:eastAsia="zh-CN" w:bidi="ar-SA"/>
        </w:rPr>
        <w:t>《南昌大学共青学院党员发展工作操作程序（2019年修订）》业经学院党委会审议通过，现予</w:t>
      </w:r>
      <w:bookmarkStart w:id="0" w:name="_GoBack"/>
      <w:bookmarkEnd w:id="0"/>
      <w:r>
        <w:rPr>
          <w:rFonts w:hint="eastAsia" w:ascii="仿宋" w:hAnsi="仿宋" w:eastAsia="仿宋" w:cs="仿宋"/>
          <w:b w:val="0"/>
          <w:bCs w:val="0"/>
          <w:snapToGrid w:val="0"/>
          <w:color w:val="auto"/>
          <w:kern w:val="0"/>
          <w:sz w:val="32"/>
          <w:szCs w:val="32"/>
          <w:lang w:val="en-US" w:eastAsia="zh-CN" w:bidi="ar-SA"/>
        </w:rPr>
        <w:t>以印发，请遵照执行。</w:t>
      </w:r>
    </w:p>
    <w:p>
      <w:pPr>
        <w:pStyle w:val="2"/>
        <w:pageBreakBefore w:val="0"/>
        <w:kinsoku/>
        <w:wordWrap/>
        <w:overflowPunct/>
        <w:topLinePunct w:val="0"/>
        <w:autoSpaceDE/>
        <w:autoSpaceDN/>
        <w:bidi w:val="0"/>
        <w:adjustRightInd/>
        <w:snapToGrid/>
        <w:spacing w:before="0" w:after="0" w:line="560" w:lineRule="exact"/>
        <w:ind w:firstLine="640" w:firstLineChars="200"/>
        <w:jc w:val="both"/>
        <w:textAlignment w:val="auto"/>
        <w:rPr>
          <w:rFonts w:ascii="仿宋" w:hAnsi="仿宋" w:eastAsia="仿宋" w:cstheme="majorEastAsia"/>
          <w:b w:val="0"/>
          <w:bCs w:val="0"/>
          <w:color w:val="auto"/>
          <w:w w:val="90"/>
        </w:rPr>
      </w:pPr>
      <w:r>
        <w:rPr>
          <w:rFonts w:hint="eastAsia" w:ascii="仿宋" w:hAnsi="仿宋" w:eastAsia="仿宋" w:cs="仿宋"/>
          <w:b w:val="0"/>
          <w:bCs w:val="0"/>
          <w:snapToGrid w:val="0"/>
          <w:color w:val="auto"/>
          <w:kern w:val="0"/>
          <w:sz w:val="32"/>
          <w:szCs w:val="32"/>
          <w:lang w:val="en-US" w:eastAsia="zh-CN" w:bidi="ar-SA"/>
        </w:rPr>
        <w:t>特此通知。</w:t>
      </w:r>
    </w:p>
    <w:p>
      <w:pPr>
        <w:pStyle w:val="2"/>
        <w:pageBreakBefore w:val="0"/>
        <w:kinsoku/>
        <w:wordWrap/>
        <w:overflowPunct/>
        <w:topLinePunct w:val="0"/>
        <w:autoSpaceDE/>
        <w:autoSpaceDN/>
        <w:bidi w:val="0"/>
        <w:adjustRightInd/>
        <w:snapToGrid/>
        <w:spacing w:before="0" w:after="0" w:line="560" w:lineRule="exact"/>
        <w:ind w:firstLine="576" w:firstLineChars="200"/>
        <w:jc w:val="both"/>
        <w:textAlignment w:val="auto"/>
        <w:rPr>
          <w:rFonts w:ascii="仿宋" w:hAnsi="仿宋" w:eastAsia="仿宋" w:cstheme="majorEastAsia"/>
          <w:b w:val="0"/>
          <w:bCs w:val="0"/>
          <w:color w:val="auto"/>
          <w:w w:val="90"/>
        </w:rPr>
      </w:pPr>
    </w:p>
    <w:p>
      <w:pPr>
        <w:pStyle w:val="2"/>
        <w:pageBreakBefore w:val="0"/>
        <w:kinsoku/>
        <w:wordWrap/>
        <w:overflowPunct/>
        <w:topLinePunct w:val="0"/>
        <w:autoSpaceDE/>
        <w:autoSpaceDN/>
        <w:bidi w:val="0"/>
        <w:adjustRightInd/>
        <w:snapToGrid/>
        <w:spacing w:before="0" w:after="0" w:line="560" w:lineRule="exact"/>
        <w:ind w:firstLine="4109" w:firstLineChars="1427"/>
        <w:jc w:val="both"/>
        <w:textAlignment w:val="auto"/>
        <w:rPr>
          <w:rFonts w:ascii="仿宋" w:hAnsi="仿宋" w:eastAsia="仿宋" w:cstheme="majorEastAsia"/>
          <w:b w:val="0"/>
          <w:bCs w:val="0"/>
          <w:color w:val="auto"/>
          <w:w w:val="90"/>
        </w:rPr>
      </w:pPr>
    </w:p>
    <w:p>
      <w:pPr>
        <w:pStyle w:val="2"/>
        <w:pageBreakBefore w:val="0"/>
        <w:kinsoku/>
        <w:wordWrap/>
        <w:overflowPunct/>
        <w:topLinePunct w:val="0"/>
        <w:autoSpaceDE/>
        <w:autoSpaceDN/>
        <w:bidi w:val="0"/>
        <w:adjustRightInd/>
        <w:snapToGrid/>
        <w:spacing w:before="0" w:after="0" w:line="560" w:lineRule="exact"/>
        <w:ind w:firstLine="4566" w:firstLineChars="1427"/>
        <w:jc w:val="both"/>
        <w:textAlignment w:val="auto"/>
        <w:rPr>
          <w:rFonts w:ascii="仿宋" w:hAnsi="仿宋" w:eastAsia="仿宋" w:cstheme="majorEastAsia"/>
          <w:b w:val="0"/>
          <w:bCs w:val="0"/>
          <w:color w:val="auto"/>
          <w:w w:val="90"/>
        </w:rPr>
      </w:pPr>
      <w:r>
        <w:rPr>
          <w:rFonts w:hint="eastAsia" w:ascii="仿宋" w:hAnsi="仿宋" w:eastAsia="仿宋" w:cs="仿宋"/>
          <w:b w:val="0"/>
          <w:bCs w:val="0"/>
          <w:snapToGrid w:val="0"/>
          <w:color w:val="auto"/>
          <w:kern w:val="0"/>
          <w:sz w:val="32"/>
          <w:szCs w:val="32"/>
          <w:lang w:val="en-US" w:eastAsia="zh-CN" w:bidi="ar-SA"/>
        </w:rPr>
        <w:t>中共南昌大学共青学院委员会</w:t>
      </w:r>
      <w:r>
        <w:rPr>
          <w:rFonts w:ascii="仿宋" w:hAnsi="仿宋" w:eastAsia="仿宋" w:cstheme="majorEastAsia"/>
          <w:b w:val="0"/>
          <w:bCs w:val="0"/>
          <w:color w:val="auto"/>
          <w:w w:val="90"/>
        </w:rPr>
        <w:t xml:space="preserve"> </w:t>
      </w:r>
    </w:p>
    <w:p>
      <w:pPr>
        <w:pStyle w:val="2"/>
        <w:pageBreakBefore w:val="0"/>
        <w:kinsoku/>
        <w:wordWrap/>
        <w:overflowPunct/>
        <w:topLinePunct w:val="0"/>
        <w:autoSpaceDE/>
        <w:autoSpaceDN/>
        <w:bidi w:val="0"/>
        <w:adjustRightInd/>
        <w:snapToGrid/>
        <w:spacing w:before="0" w:after="0" w:line="560" w:lineRule="exact"/>
        <w:ind w:firstLine="5523" w:firstLineChars="1726"/>
        <w:jc w:val="both"/>
        <w:textAlignment w:val="auto"/>
        <w:rPr>
          <w:rFonts w:hint="eastAsia" w:ascii="仿宋" w:hAnsi="仿宋" w:eastAsia="仿宋" w:cs="仿宋"/>
          <w:b w:val="0"/>
          <w:bCs w:val="0"/>
          <w:snapToGrid w:val="0"/>
          <w:color w:val="auto"/>
          <w:kern w:val="0"/>
          <w:sz w:val="32"/>
          <w:szCs w:val="32"/>
          <w:lang w:val="en-US" w:eastAsia="zh-CN" w:bidi="ar-SA"/>
        </w:rPr>
      </w:pPr>
      <w:r>
        <w:rPr>
          <w:rFonts w:hint="eastAsia" w:ascii="仿宋" w:hAnsi="仿宋" w:eastAsia="仿宋" w:cs="仿宋"/>
          <w:b w:val="0"/>
          <w:bCs w:val="0"/>
          <w:snapToGrid w:val="0"/>
          <w:color w:val="auto"/>
          <w:kern w:val="0"/>
          <w:sz w:val="32"/>
          <w:szCs w:val="32"/>
          <w:lang w:val="en-US" w:eastAsia="zh-CN" w:bidi="ar-SA"/>
        </w:rPr>
        <w:t>2019年 11 月4 日</w:t>
      </w:r>
    </w:p>
    <w:p>
      <w:pPr>
        <w:pageBreakBefore w:val="0"/>
        <w:kinsoku/>
        <w:wordWrap/>
        <w:overflowPunct/>
        <w:topLinePunct w:val="0"/>
        <w:autoSpaceDE/>
        <w:autoSpaceDN/>
        <w:bidi w:val="0"/>
        <w:adjustRightInd/>
        <w:snapToGrid/>
        <w:spacing w:line="560" w:lineRule="exact"/>
        <w:ind w:firstLine="576" w:firstLineChars="200"/>
        <w:jc w:val="both"/>
        <w:textAlignment w:val="auto"/>
        <w:rPr>
          <w:w w:val="90"/>
        </w:rPr>
      </w:pPr>
      <w:r>
        <w:rPr>
          <w:w w:val="90"/>
        </w:rPr>
        <w:br w:type="page"/>
      </w:r>
    </w:p>
    <w:p>
      <w:pPr>
        <w:pStyle w:val="2"/>
        <w:pageBreakBefore w:val="0"/>
        <w:kinsoku/>
        <w:wordWrap/>
        <w:overflowPunct/>
        <w:topLinePunct w:val="0"/>
        <w:autoSpaceDE/>
        <w:autoSpaceDN/>
        <w:bidi w:val="0"/>
        <w:adjustRightInd/>
        <w:snapToGrid/>
        <w:spacing w:before="0" w:after="0" w:line="560" w:lineRule="exact"/>
        <w:jc w:val="center"/>
        <w:textAlignment w:val="auto"/>
        <w:rPr>
          <w:rFonts w:hint="eastAsia" w:asciiTheme="minorEastAsia" w:hAnsiTheme="minorEastAsia" w:eastAsiaTheme="minorEastAsia" w:cstheme="majorEastAsia"/>
          <w:bCs w:val="0"/>
          <w:color w:val="000000" w:themeColor="text1"/>
          <w:w w:val="90"/>
          <w:sz w:val="44"/>
          <w:szCs w:val="44"/>
          <w14:textFill>
            <w14:solidFill>
              <w14:schemeClr w14:val="tx1"/>
            </w14:solidFill>
          </w14:textFill>
        </w:rPr>
      </w:pPr>
    </w:p>
    <w:p>
      <w:pPr>
        <w:pStyle w:val="2"/>
        <w:pageBreakBefore w:val="0"/>
        <w:kinsoku/>
        <w:wordWrap/>
        <w:overflowPunct/>
        <w:topLinePunct w:val="0"/>
        <w:autoSpaceDE/>
        <w:autoSpaceDN/>
        <w:bidi w:val="0"/>
        <w:adjustRightInd/>
        <w:snapToGrid/>
        <w:spacing w:before="0" w:after="0" w:line="560" w:lineRule="exact"/>
        <w:jc w:val="center"/>
        <w:textAlignment w:val="auto"/>
        <w:rPr>
          <w:rFonts w:asciiTheme="minorEastAsia" w:hAnsiTheme="minorEastAsia" w:eastAsiaTheme="minorEastAsia" w:cstheme="majorEastAsia"/>
          <w:bCs w:val="0"/>
          <w:color w:val="000000" w:themeColor="text1"/>
          <w:w w:val="90"/>
          <w:sz w:val="44"/>
          <w:szCs w:val="44"/>
          <w14:textFill>
            <w14:solidFill>
              <w14:schemeClr w14:val="tx1"/>
            </w14:solidFill>
          </w14:textFill>
        </w:rPr>
      </w:pPr>
      <w:r>
        <w:rPr>
          <w:rFonts w:hint="eastAsia" w:asciiTheme="minorEastAsia" w:hAnsiTheme="minorEastAsia" w:eastAsiaTheme="minorEastAsia" w:cstheme="majorEastAsia"/>
          <w:bCs w:val="0"/>
          <w:color w:val="000000" w:themeColor="text1"/>
          <w:w w:val="90"/>
          <w:sz w:val="44"/>
          <w:szCs w:val="44"/>
          <w14:textFill>
            <w14:solidFill>
              <w14:schemeClr w14:val="tx1"/>
            </w14:solidFill>
          </w14:textFill>
        </w:rPr>
        <w:t>南昌大学共青学院学生党员发展工作操作程序</w:t>
      </w:r>
    </w:p>
    <w:p>
      <w:pPr>
        <w:pStyle w:val="2"/>
        <w:keepNext/>
        <w:keepLines/>
        <w:pageBreakBefore w:val="0"/>
        <w:widowControl w:val="0"/>
        <w:kinsoku/>
        <w:wordWrap/>
        <w:overflowPunct/>
        <w:topLinePunct w:val="0"/>
        <w:autoSpaceDE/>
        <w:autoSpaceDN/>
        <w:bidi w:val="0"/>
        <w:adjustRightInd/>
        <w:snapToGrid/>
        <w:spacing w:before="0" w:after="437" w:afterLines="100" w:line="560" w:lineRule="exact"/>
        <w:jc w:val="center"/>
        <w:textAlignment w:val="auto"/>
        <w:outlineLvl w:val="1"/>
        <w:rPr>
          <w:rFonts w:asciiTheme="minorEastAsia" w:hAnsiTheme="minorEastAsia" w:eastAsiaTheme="minorEastAsia" w:cstheme="majorEastAsia"/>
          <w:bCs w:val="0"/>
          <w:color w:val="000000" w:themeColor="text1"/>
          <w:w w:val="90"/>
          <w:sz w:val="44"/>
          <w:szCs w:val="44"/>
          <w14:textFill>
            <w14:solidFill>
              <w14:schemeClr w14:val="tx1"/>
            </w14:solidFill>
          </w14:textFill>
        </w:rPr>
      </w:pPr>
      <w:r>
        <w:rPr>
          <w:rFonts w:hint="eastAsia" w:asciiTheme="minorEastAsia" w:hAnsiTheme="minorEastAsia" w:eastAsiaTheme="minorEastAsia" w:cstheme="majorEastAsia"/>
          <w:bCs w:val="0"/>
          <w:color w:val="000000" w:themeColor="text1"/>
          <w:w w:val="90"/>
          <w:sz w:val="44"/>
          <w:szCs w:val="44"/>
          <w14:textFill>
            <w14:solidFill>
              <w14:schemeClr w14:val="tx1"/>
            </w14:solidFill>
          </w14:textFill>
        </w:rPr>
        <w:t>（2</w:t>
      </w:r>
      <w:r>
        <w:rPr>
          <w:rFonts w:asciiTheme="minorEastAsia" w:hAnsiTheme="minorEastAsia" w:eastAsiaTheme="minorEastAsia" w:cstheme="majorEastAsia"/>
          <w:bCs w:val="0"/>
          <w:color w:val="000000" w:themeColor="text1"/>
          <w:w w:val="90"/>
          <w:sz w:val="44"/>
          <w:szCs w:val="44"/>
          <w14:textFill>
            <w14:solidFill>
              <w14:schemeClr w14:val="tx1"/>
            </w14:solidFill>
          </w14:textFill>
        </w:rPr>
        <w:t>019</w:t>
      </w:r>
      <w:r>
        <w:rPr>
          <w:rFonts w:hint="eastAsia" w:asciiTheme="minorEastAsia" w:hAnsiTheme="minorEastAsia" w:eastAsiaTheme="minorEastAsia" w:cstheme="majorEastAsia"/>
          <w:bCs w:val="0"/>
          <w:color w:val="000000" w:themeColor="text1"/>
          <w:w w:val="90"/>
          <w:sz w:val="44"/>
          <w:szCs w:val="44"/>
          <w14:textFill>
            <w14:solidFill>
              <w14:schemeClr w14:val="tx1"/>
            </w14:solidFill>
          </w14:textFill>
        </w:rPr>
        <w:t>年</w:t>
      </w:r>
      <w:r>
        <w:rPr>
          <w:rFonts w:hint="eastAsia" w:asciiTheme="majorEastAsia" w:hAnsiTheme="majorEastAsia" w:eastAsiaTheme="majorEastAsia" w:cstheme="majorEastAsia"/>
          <w:bCs w:val="0"/>
          <w:color w:val="000000" w:themeColor="text1"/>
          <w:sz w:val="44"/>
          <w:szCs w:val="44"/>
          <w14:textFill>
            <w14:solidFill>
              <w14:schemeClr w14:val="tx1"/>
            </w14:solidFill>
          </w14:textFill>
        </w:rPr>
        <w:t>修订）</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发展党员工作是党的组织建设的重要组成部分。要做好新时期党员发展工作，必须遵循“坚持标准、保证质量、改善结构、慎重发展”的方针，贯彻“控制总量、优化结构、提高质量、发挥作用”的总要求，坚持入党自愿和个别吸收的基本原则，坚持“立德树人，德才兼备”的标准。把握好申请入党、入党积极分子的确定和培养教育、发展对象的确定和考察、预备党员的接收、预备党员的教育考察和转正五个阶段工作，现按照《中国共产党党章》《中国共产党党员发展工作细则》《中国共产党支部工作条例（试行）》修订了本程序。</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w:t>
      </w:r>
      <w:r>
        <w:rPr>
          <w:rFonts w:ascii="黑体" w:hAnsi="黑体" w:eastAsia="黑体" w:cs="黑体"/>
          <w:color w:val="000000" w:themeColor="text1"/>
          <w:sz w:val="32"/>
          <w:szCs w:val="32"/>
          <w14:textFill>
            <w14:solidFill>
              <w14:schemeClr w14:val="tx1"/>
            </w14:solidFill>
          </w14:textFill>
        </w:rPr>
        <w:t>、</w:t>
      </w:r>
      <w:r>
        <w:rPr>
          <w:rFonts w:hint="eastAsia" w:ascii="黑体" w:hAnsi="黑体" w:eastAsia="黑体" w:cs="黑体"/>
          <w:color w:val="000000" w:themeColor="text1"/>
          <w:sz w:val="32"/>
          <w:szCs w:val="32"/>
          <w14:textFill>
            <w14:solidFill>
              <w14:schemeClr w14:val="tx1"/>
            </w14:solidFill>
          </w14:textFill>
        </w:rPr>
        <w:t>入党启蒙</w:t>
      </w:r>
      <w:r>
        <w:rPr>
          <w:rFonts w:ascii="黑体" w:hAnsi="黑体" w:eastAsia="黑体" w:cs="黑体"/>
          <w:color w:val="000000" w:themeColor="text1"/>
          <w:sz w:val="32"/>
          <w:szCs w:val="32"/>
          <w14:textFill>
            <w14:solidFill>
              <w14:schemeClr w14:val="tx1"/>
            </w14:solidFill>
          </w14:textFill>
        </w:rPr>
        <w:t>教育</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hAnsi="仿宋_GB2312" w:cs="仿宋_GB2312"/>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入党启蒙教育是党员教育的基础，是激发学生政治热情，积极向党组织靠拢的关键阶段。在本科生、专科生新生入学教育阶段，加强党的政治主张和路线、方针、政策宣传，通过主题班会、网络学习等多种形式对新生进行党的基本知识、学生党员发展政策要求和社会主义核心价值观的教育。通过宣传党的政治主张和深入细致的思想政治工作，提高新生对党的认识，增进对党的感情。</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二、申请入党</w:t>
      </w:r>
    </w:p>
    <w:p>
      <w:pPr>
        <w:pageBreakBefore w:val="0"/>
        <w:kinsoku/>
        <w:wordWrap/>
        <w:overflowPunct/>
        <w:topLinePunct w:val="0"/>
        <w:autoSpaceDE/>
        <w:autoSpaceDN/>
        <w:bidi w:val="0"/>
        <w:adjustRightInd/>
        <w:snapToGrid/>
        <w:spacing w:line="560" w:lineRule="exact"/>
        <w:ind w:firstLine="643"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1.递交入党申请书。</w:t>
      </w:r>
      <w:r>
        <w:rPr>
          <w:rFonts w:hint="eastAsia" w:ascii="仿宋" w:hAnsi="仿宋" w:eastAsia="仿宋" w:cs="仿宋"/>
          <w:b w:val="0"/>
          <w:bCs w:val="0"/>
          <w:color w:val="000000" w:themeColor="text1"/>
          <w:sz w:val="32"/>
          <w:szCs w:val="32"/>
          <w14:textFill>
            <w14:solidFill>
              <w14:schemeClr w14:val="tx1"/>
            </w14:solidFill>
          </w14:textFill>
        </w:rPr>
        <w:t>在接受入党启蒙教育后，入党申请人自愿书面递交入党申请书和无宗教信仰承诺书，必须承认党的纲领和章程，愿意参加党的一个组织并在其中积极工作，愿意执行党的决议，按期缴纳党费。同时满足以下条件：年满18岁的中国公民。在提交入党申请书之前，28岁（含28岁）以下的青年应为共青团员，超过28岁的入党申请人，择优发展。</w:t>
      </w:r>
    </w:p>
    <w:p>
      <w:pPr>
        <w:pageBreakBefore w:val="0"/>
        <w:kinsoku/>
        <w:wordWrap/>
        <w:overflowPunct/>
        <w:topLinePunct w:val="0"/>
        <w:autoSpaceDE/>
        <w:autoSpaceDN/>
        <w:bidi w:val="0"/>
        <w:adjustRightInd/>
        <w:snapToGrid/>
        <w:spacing w:line="560" w:lineRule="exact"/>
        <w:ind w:firstLine="643"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2.党组织派人谈话。</w:t>
      </w:r>
      <w:r>
        <w:rPr>
          <w:rFonts w:hint="eastAsia" w:ascii="仿宋" w:hAnsi="仿宋" w:eastAsia="仿宋" w:cs="仿宋"/>
          <w:b w:val="0"/>
          <w:bCs w:val="0"/>
          <w:color w:val="000000" w:themeColor="text1"/>
          <w:sz w:val="32"/>
          <w:szCs w:val="32"/>
          <w14:textFill>
            <w14:solidFill>
              <w14:schemeClr w14:val="tx1"/>
            </w14:solidFill>
          </w14:textFill>
        </w:rPr>
        <w:t>符合入党条件的申请人本人提交入党书面申请后,党支部书记、副书记或组织委员在1个月内与申请人谈话,了解申请人基本情况，介绍入党条件和程序，并做好谈话记录，加强对入党申请人的教育引导。</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三、入党积极分子的确定和培养教育</w:t>
      </w:r>
    </w:p>
    <w:p>
      <w:pPr>
        <w:pageBreakBefore w:val="0"/>
        <w:kinsoku/>
        <w:wordWrap/>
        <w:overflowPunct/>
        <w:topLinePunct w:val="0"/>
        <w:autoSpaceDE/>
        <w:autoSpaceDN/>
        <w:bidi w:val="0"/>
        <w:adjustRightInd/>
        <w:snapToGrid/>
        <w:spacing w:line="560" w:lineRule="exact"/>
        <w:ind w:firstLine="643"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3.推荐和确定入党积极分子。</w:t>
      </w:r>
      <w:r>
        <w:rPr>
          <w:rFonts w:hint="eastAsia" w:ascii="仿宋" w:hAnsi="仿宋" w:eastAsia="仿宋" w:cs="仿宋"/>
          <w:b w:val="0"/>
          <w:bCs w:val="0"/>
          <w:color w:val="000000" w:themeColor="text1"/>
          <w:sz w:val="32"/>
          <w:szCs w:val="32"/>
          <w14:textFill>
            <w14:solidFill>
              <w14:schemeClr w14:val="tx1"/>
            </w14:solidFill>
          </w14:textFill>
        </w:rPr>
        <w:t>在党组织派人谈话后，确定积极分子之前，撰写个人自传，充分发挥各系团总支作用，择优推荐优秀团员填写《南昌大学共青学院优秀团员入党推荐表》，考察至少在6个月以上，经支部大会讨论确定为入党积极分子，并进行公示，填写《拟列为入党积极分子公示单》。</w:t>
      </w:r>
    </w:p>
    <w:p>
      <w:pPr>
        <w:pageBreakBefore w:val="0"/>
        <w:kinsoku/>
        <w:wordWrap/>
        <w:overflowPunct/>
        <w:topLinePunct w:val="0"/>
        <w:autoSpaceDE/>
        <w:autoSpaceDN/>
        <w:bidi w:val="0"/>
        <w:adjustRightInd/>
        <w:snapToGrid/>
        <w:spacing w:line="560" w:lineRule="exact"/>
        <w:ind w:firstLine="643"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4.上级党组织备案。</w:t>
      </w:r>
      <w:r>
        <w:rPr>
          <w:rFonts w:hint="eastAsia" w:ascii="仿宋" w:hAnsi="仿宋" w:eastAsia="仿宋" w:cs="仿宋"/>
          <w:color w:val="000000" w:themeColor="text1"/>
          <w:sz w:val="32"/>
          <w:szCs w:val="32"/>
          <w14:textFill>
            <w14:solidFill>
              <w14:schemeClr w14:val="tx1"/>
            </w14:solidFill>
          </w14:textFill>
        </w:rPr>
        <w:t>各系党总支将已经确定为入党积极分子的师生按照基本情况，填写《入党积极分子备案登记表》，并在提交上级党委备案后，开始填写《入党积极分子考察登记表》。</w:t>
      </w:r>
    </w:p>
    <w:p>
      <w:pPr>
        <w:pageBreakBefore w:val="0"/>
        <w:kinsoku/>
        <w:wordWrap/>
        <w:overflowPunct/>
        <w:topLinePunct w:val="0"/>
        <w:autoSpaceDE/>
        <w:autoSpaceDN/>
        <w:bidi w:val="0"/>
        <w:adjustRightInd/>
        <w:snapToGrid/>
        <w:spacing w:line="560" w:lineRule="exact"/>
        <w:ind w:firstLine="475" w:firstLineChars="148"/>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5.指定培养联系人。</w:t>
      </w:r>
      <w:r>
        <w:rPr>
          <w:rFonts w:hint="eastAsia" w:ascii="仿宋" w:hAnsi="仿宋" w:eastAsia="仿宋" w:cs="仿宋"/>
          <w:color w:val="000000" w:themeColor="text1"/>
          <w:sz w:val="32"/>
          <w:szCs w:val="32"/>
          <w14:textFill>
            <w14:solidFill>
              <w14:schemeClr w14:val="tx1"/>
            </w14:solidFill>
          </w14:textFill>
        </w:rPr>
        <w:t>在向上级党组织备案后，由党支部召开支委会，为积极分子指定两名正式党员作为其培养联系人，负责对其加强思想政治教育，要多方面、多角度了解培养对象历史、政治表现、道德品质和家庭情况等，做好培养工作。引导入党积极分子端正入党动机，督促和提醒入党积极分子在考察期间必须完成4次公益性志愿服务；3个月向党支部汇报一次积极分子表现情况，并如实填写好《入党积极分子考察登记表》中的考察情况部分。在入党积极分子自支部大会讨论确定之日起，考察满1年后，向党组织提出能否将入党积极分子列为发展对象的意见。</w:t>
      </w:r>
    </w:p>
    <w:p>
      <w:pPr>
        <w:pageBreakBefore w:val="0"/>
        <w:kinsoku/>
        <w:wordWrap/>
        <w:overflowPunct/>
        <w:topLinePunct w:val="0"/>
        <w:autoSpaceDE/>
        <w:autoSpaceDN/>
        <w:bidi w:val="0"/>
        <w:adjustRightInd/>
        <w:snapToGrid/>
        <w:spacing w:line="560" w:lineRule="exact"/>
        <w:ind w:firstLine="643"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6.培养教育考察。</w:t>
      </w:r>
      <w:r>
        <w:rPr>
          <w:rFonts w:hint="eastAsia" w:ascii="仿宋" w:hAnsi="仿宋" w:eastAsia="仿宋" w:cs="仿宋"/>
          <w:color w:val="000000" w:themeColor="text1"/>
          <w:sz w:val="32"/>
          <w:szCs w:val="32"/>
          <w14:textFill>
            <w14:solidFill>
              <w14:schemeClr w14:val="tx1"/>
            </w14:solidFill>
          </w14:textFill>
        </w:rPr>
        <w:t>在指定培养联系人后，党支部每半年对入党积极分子进行1次考察，每1年对积极分子队伍状况作一次分析，分析情况一式两份，分别提交党总支和学院党委。党支部要制定好《入党积极分子教育考察方案》，吸收入党积极分子听党课，参加党内有关活动、分配一定的社会工作、集中培训（学习培训期间，积极分子中的学生要到学院大学生党建与思想政治教育工作站登记备案）等，填写好《南昌大学共青学院分党校积极分子培训班考试成绩登记表》。使入党积极分子懂得党的性质、纲领、宗旨、组织原则、纪律、党员的义务和权利，帮助其端正入党动机，确立为共产主义奋斗终身的信念。要在“德才兼备、以德为先”上加大对入党积极分子的教育考察力度。</w:t>
      </w:r>
    </w:p>
    <w:p>
      <w:pPr>
        <w:pageBreakBefore w:val="0"/>
        <w:kinsoku/>
        <w:wordWrap/>
        <w:overflowPunct/>
        <w:topLinePunct w:val="0"/>
        <w:autoSpaceDE/>
        <w:autoSpaceDN/>
        <w:bidi w:val="0"/>
        <w:adjustRightInd/>
        <w:snapToGrid/>
        <w:spacing w:line="560" w:lineRule="exact"/>
        <w:ind w:firstLine="600" w:firstLineChars="200"/>
        <w:jc w:val="both"/>
        <w:textAlignment w:val="auto"/>
        <w:rPr>
          <w:rFonts w:ascii="楷体" w:hAnsi="楷体" w:eastAsia="楷体" w:cs="楷体"/>
          <w:color w:val="000000" w:themeColor="text1"/>
          <w:sz w:val="30"/>
          <w:szCs w:val="30"/>
          <w14:textFill>
            <w14:solidFill>
              <w14:schemeClr w14:val="tx1"/>
            </w14:solidFill>
          </w14:textFill>
        </w:rPr>
      </w:pPr>
      <w:r>
        <w:rPr>
          <w:rFonts w:hint="eastAsia" w:ascii="楷体" w:hAnsi="楷体" w:eastAsia="楷体" w:cs="楷体"/>
          <w:color w:val="000000" w:themeColor="text1"/>
          <w:sz w:val="30"/>
          <w:szCs w:val="30"/>
          <w14:textFill>
            <w14:solidFill>
              <w14:schemeClr w14:val="tx1"/>
            </w14:solidFill>
          </w14:textFill>
        </w:rPr>
        <w:t>（对“德才兼备、以德为先”的解释：一、先有“德”：1.政治认同，拥护中国共产党的领导；2.国家意识，爱国爱家，热爱人民；3.社会责任，有责任担当，勤勉工作、学习；4.文化自信，弘扬和传承中华民族传统文化；5.人格养成，有社会公德，诚信友好、忠实可靠。二、再有“才”：1.基础知识，知识构成丰富，范围较广；2.专业技能，专业学习实践能力突出；3.思维能力，对于工作或学习有独到的见解；4.科学精神，对于学习和工作有坚韧的钻研精神；5.世界眼光，看待事物目光长远，科学有见地。）</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四、发展对象的确定和考察</w:t>
      </w:r>
    </w:p>
    <w:p>
      <w:pPr>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7.确定发展对象。</w:t>
      </w:r>
      <w:r>
        <w:rPr>
          <w:rFonts w:hint="eastAsia" w:ascii="仿宋" w:hAnsi="仿宋" w:eastAsia="仿宋" w:cs="仿宋"/>
          <w:b w:val="0"/>
          <w:bCs w:val="0"/>
          <w:color w:val="000000" w:themeColor="text1"/>
          <w:sz w:val="32"/>
          <w:szCs w:val="32"/>
          <w14:textFill>
            <w14:solidFill>
              <w14:schemeClr w14:val="tx1"/>
            </w14:solidFill>
          </w14:textFill>
        </w:rPr>
        <w:t>经过1年以上培养和考察，在听取培养人、党员和群众意见后，支委会讨论同意列为发展对象，并进行公示，填写《拟列为发展对象公示单》。</w:t>
      </w:r>
    </w:p>
    <w:p>
      <w:pPr>
        <w:pageBreakBefore w:val="0"/>
        <w:kinsoku/>
        <w:wordWrap/>
        <w:overflowPunct/>
        <w:topLinePunct w:val="0"/>
        <w:autoSpaceDE/>
        <w:autoSpaceDN/>
        <w:bidi w:val="0"/>
        <w:adjustRightInd/>
        <w:snapToGrid/>
        <w:spacing w:line="560" w:lineRule="exact"/>
        <w:ind w:firstLine="643"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8.报上级党委备案。</w:t>
      </w:r>
      <w:r>
        <w:rPr>
          <w:rFonts w:hint="eastAsia" w:ascii="仿宋" w:hAnsi="仿宋" w:eastAsia="仿宋" w:cs="仿宋"/>
          <w:color w:val="000000" w:themeColor="text1"/>
          <w:sz w:val="32"/>
          <w:szCs w:val="32"/>
          <w14:textFill>
            <w14:solidFill>
              <w14:schemeClr w14:val="tx1"/>
            </w14:solidFill>
          </w14:textFill>
        </w:rPr>
        <w:t>确定发展对象公示后，报上级党委审查，如无问题，批准列为发展对象。</w:t>
      </w:r>
    </w:p>
    <w:p>
      <w:pPr>
        <w:pageBreakBefore w:val="0"/>
        <w:kinsoku/>
        <w:wordWrap/>
        <w:overflowPunct/>
        <w:topLinePunct w:val="0"/>
        <w:autoSpaceDE/>
        <w:autoSpaceDN/>
        <w:bidi w:val="0"/>
        <w:adjustRightInd/>
        <w:snapToGrid/>
        <w:spacing w:line="560" w:lineRule="exact"/>
        <w:ind w:firstLine="643"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9.确定入党介绍人。</w:t>
      </w:r>
      <w:r>
        <w:rPr>
          <w:rFonts w:hint="eastAsia" w:ascii="仿宋" w:hAnsi="仿宋" w:eastAsia="仿宋" w:cs="仿宋"/>
          <w:color w:val="000000" w:themeColor="text1"/>
          <w:sz w:val="32"/>
          <w:szCs w:val="32"/>
          <w14:textFill>
            <w14:solidFill>
              <w14:schemeClr w14:val="tx1"/>
            </w14:solidFill>
          </w14:textFill>
        </w:rPr>
        <w:t>在学院党委批准列为发展对象备案后，2名正式党员作为入党介绍人。入党介绍人一般由培养人担任，也可由党组织指定。确定入党介绍人要通过支委会确定，介绍人要参加。如因其他原因入党介绍人不能履职，要及时更换，更换须书面写明情况。原则上一人不能同时担任多人的介绍人。</w:t>
      </w:r>
    </w:p>
    <w:p>
      <w:pPr>
        <w:pageBreakBefore w:val="0"/>
        <w:kinsoku/>
        <w:wordWrap/>
        <w:overflowPunct/>
        <w:topLinePunct w:val="0"/>
        <w:autoSpaceDE/>
        <w:autoSpaceDN/>
        <w:bidi w:val="0"/>
        <w:adjustRightInd/>
        <w:snapToGrid/>
        <w:spacing w:line="560" w:lineRule="exact"/>
        <w:ind w:firstLine="643"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10.进行政治审查。</w:t>
      </w:r>
      <w:r>
        <w:rPr>
          <w:rFonts w:hint="eastAsia" w:ascii="仿宋" w:hAnsi="仿宋" w:eastAsia="仿宋" w:cs="仿宋"/>
          <w:color w:val="000000" w:themeColor="text1"/>
          <w:sz w:val="32"/>
          <w:szCs w:val="32"/>
          <w14:textFill>
            <w14:solidFill>
              <w14:schemeClr w14:val="tx1"/>
            </w14:solidFill>
          </w14:textFill>
        </w:rPr>
        <w:t>在确定入党介绍人后。对发展对象要进行政治审查，审查要严肃认真，实事求是，注重本人的一贯表现，通过与本人谈话、查阅档案材料、找有关单位和人员了解情况以及必要的函调或外调，形成个人综合政审结论性材料，未经政治审查或审查不合格不能发展。</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五、预备党员的接收</w:t>
      </w:r>
    </w:p>
    <w:p>
      <w:pPr>
        <w:pageBreakBefore w:val="0"/>
        <w:kinsoku/>
        <w:wordWrap/>
        <w:overflowPunct/>
        <w:topLinePunct w:val="0"/>
        <w:autoSpaceDE/>
        <w:autoSpaceDN/>
        <w:bidi w:val="0"/>
        <w:adjustRightInd/>
        <w:snapToGrid/>
        <w:spacing w:line="560" w:lineRule="exact"/>
        <w:ind w:firstLine="643"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11.开展集中培训。</w:t>
      </w:r>
      <w:r>
        <w:rPr>
          <w:rFonts w:hint="eastAsia" w:ascii="仿宋" w:hAnsi="仿宋" w:eastAsia="仿宋" w:cs="仿宋"/>
          <w:color w:val="000000" w:themeColor="text1"/>
          <w:sz w:val="32"/>
          <w:szCs w:val="32"/>
          <w14:textFill>
            <w14:solidFill>
              <w14:schemeClr w14:val="tx1"/>
            </w14:solidFill>
          </w14:textFill>
        </w:rPr>
        <w:t>政治审查后，要组织发展对象进行集中培训，参加学院分党校学习（学习期间，发展对象中的学生要到学院大学生党建与思想政治教育工作站登记备案），不少于3天或不少于24个学时，填写好《学院分党校发展对象培训班考试成绩登记表》。</w:t>
      </w:r>
    </w:p>
    <w:p>
      <w:pPr>
        <w:pageBreakBefore w:val="0"/>
        <w:kinsoku/>
        <w:wordWrap/>
        <w:overflowPunct/>
        <w:topLinePunct w:val="0"/>
        <w:autoSpaceDE/>
        <w:autoSpaceDN/>
        <w:bidi w:val="0"/>
        <w:adjustRightInd/>
        <w:snapToGrid/>
        <w:spacing w:line="560" w:lineRule="exact"/>
        <w:ind w:firstLine="643"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12.支部委员会审查。</w:t>
      </w:r>
      <w:r>
        <w:rPr>
          <w:rFonts w:hint="eastAsia" w:ascii="仿宋" w:hAnsi="仿宋" w:eastAsia="仿宋" w:cs="仿宋"/>
          <w:color w:val="000000" w:themeColor="text1"/>
          <w:sz w:val="32"/>
          <w:szCs w:val="32"/>
          <w14:textFill>
            <w14:solidFill>
              <w14:schemeClr w14:val="tx1"/>
            </w14:solidFill>
          </w14:textFill>
        </w:rPr>
        <w:t>在集中培训并经考核合格后进行群众座谈会，征求党员和群众的意见，对发展对象进行严格审查。</w:t>
      </w:r>
    </w:p>
    <w:p>
      <w:pPr>
        <w:pageBreakBefore w:val="0"/>
        <w:kinsoku/>
        <w:wordWrap/>
        <w:overflowPunct/>
        <w:topLinePunct w:val="0"/>
        <w:autoSpaceDE/>
        <w:autoSpaceDN/>
        <w:bidi w:val="0"/>
        <w:adjustRightInd/>
        <w:snapToGrid/>
        <w:spacing w:line="560" w:lineRule="exact"/>
        <w:ind w:firstLine="643"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13.上级党委预审。</w:t>
      </w:r>
      <w:r>
        <w:rPr>
          <w:rFonts w:hint="eastAsia" w:ascii="仿宋" w:hAnsi="仿宋" w:eastAsia="仿宋" w:cs="仿宋"/>
          <w:color w:val="000000" w:themeColor="text1"/>
          <w:sz w:val="32"/>
          <w:szCs w:val="32"/>
          <w14:textFill>
            <w14:solidFill>
              <w14:schemeClr w14:val="tx1"/>
            </w14:solidFill>
          </w14:textFill>
        </w:rPr>
        <w:t>学院党委审查发展对象条件、培养教育情况，以书面通知党支部，向审查合格的发展对象发放入党志愿书。如果发展对象未来3个月内将离开工作、学习单位的，一般不办理接收预备党员手续。</w:t>
      </w:r>
    </w:p>
    <w:p>
      <w:pPr>
        <w:pageBreakBefore w:val="0"/>
        <w:kinsoku/>
        <w:wordWrap/>
        <w:overflowPunct/>
        <w:topLinePunct w:val="0"/>
        <w:autoSpaceDE/>
        <w:autoSpaceDN/>
        <w:bidi w:val="0"/>
        <w:adjustRightInd/>
        <w:snapToGrid/>
        <w:spacing w:line="560" w:lineRule="exact"/>
        <w:ind w:firstLine="643"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14.填写入党志愿书。</w:t>
      </w:r>
      <w:r>
        <w:rPr>
          <w:rFonts w:hint="eastAsia" w:ascii="仿宋" w:hAnsi="仿宋" w:eastAsia="仿宋" w:cs="仿宋"/>
          <w:color w:val="000000" w:themeColor="text1"/>
          <w:sz w:val="32"/>
          <w:szCs w:val="32"/>
          <w14:textFill>
            <w14:solidFill>
              <w14:schemeClr w14:val="tx1"/>
            </w14:solidFill>
          </w14:textFill>
        </w:rPr>
        <w:t>在上级党委预审后，在入党介绍人的指导下，由本人按照要求填写入党志愿书。</w:t>
      </w:r>
    </w:p>
    <w:p>
      <w:pPr>
        <w:pageBreakBefore w:val="0"/>
        <w:kinsoku/>
        <w:wordWrap/>
        <w:overflowPunct/>
        <w:topLinePunct w:val="0"/>
        <w:autoSpaceDE/>
        <w:autoSpaceDN/>
        <w:bidi w:val="0"/>
        <w:adjustRightInd/>
        <w:snapToGrid/>
        <w:spacing w:line="560" w:lineRule="exact"/>
        <w:ind w:firstLine="643"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15.支部大会讨论。</w:t>
      </w:r>
      <w:r>
        <w:rPr>
          <w:rFonts w:hint="eastAsia" w:ascii="仿宋" w:hAnsi="仿宋" w:eastAsia="仿宋" w:cs="仿宋"/>
          <w:color w:val="000000" w:themeColor="text1"/>
          <w:sz w:val="32"/>
          <w:szCs w:val="32"/>
          <w14:textFill>
            <w14:solidFill>
              <w14:schemeClr w14:val="tx1"/>
            </w14:solidFill>
          </w14:textFill>
        </w:rPr>
        <w:t>在如实填写好入党志愿书后，支部召开全体大会讨论，按照如下程序：（1）发展对象汇报个人情况；（2）入党介绍人介绍发展对象有关情况、表明意见；（3）支部委员会报告审查情况；（4）与会党员充分讨论、投票表决。有表决权的到会人数必须超过应到会有表决权人数的半数，才能开会；赞成人数超过应到会有表决权的正式党员的半数，方可通过。讨论两个以上发展对象入党时，要逐个讨论和表决。</w:t>
      </w:r>
    </w:p>
    <w:p>
      <w:pPr>
        <w:pageBreakBefore w:val="0"/>
        <w:kinsoku/>
        <w:wordWrap/>
        <w:overflowPunct/>
        <w:topLinePunct w:val="0"/>
        <w:autoSpaceDE/>
        <w:autoSpaceDN/>
        <w:bidi w:val="0"/>
        <w:adjustRightInd/>
        <w:snapToGrid/>
        <w:spacing w:line="560" w:lineRule="exact"/>
        <w:ind w:firstLine="643"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16.上级党委派人谈话。</w:t>
      </w:r>
      <w:r>
        <w:rPr>
          <w:rFonts w:hint="eastAsia" w:ascii="仿宋" w:hAnsi="仿宋" w:eastAsia="仿宋" w:cs="仿宋"/>
          <w:color w:val="000000" w:themeColor="text1"/>
          <w:sz w:val="32"/>
          <w:szCs w:val="32"/>
          <w14:textFill>
            <w14:solidFill>
              <w14:schemeClr w14:val="tx1"/>
            </w14:solidFill>
          </w14:textFill>
        </w:rPr>
        <w:t>支部大会讨论之后，上级党委派人谈话，谈话人应当将谈话情况和自己对发展对象能否入党的意见如实的填写在入党志愿书上，并向党委汇报。</w:t>
      </w:r>
    </w:p>
    <w:p>
      <w:pPr>
        <w:pageBreakBefore w:val="0"/>
        <w:kinsoku/>
        <w:wordWrap/>
        <w:overflowPunct/>
        <w:topLinePunct w:val="0"/>
        <w:autoSpaceDE/>
        <w:autoSpaceDN/>
        <w:bidi w:val="0"/>
        <w:adjustRightInd/>
        <w:snapToGrid/>
        <w:spacing w:line="560" w:lineRule="exact"/>
        <w:ind w:firstLine="643"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17.上级党委审批。</w:t>
      </w:r>
      <w:r>
        <w:rPr>
          <w:rFonts w:hint="eastAsia" w:ascii="仿宋" w:hAnsi="仿宋" w:eastAsia="仿宋" w:cs="仿宋"/>
          <w:color w:val="000000" w:themeColor="text1"/>
          <w:sz w:val="32"/>
          <w:szCs w:val="32"/>
          <w14:textFill>
            <w14:solidFill>
              <w14:schemeClr w14:val="tx1"/>
            </w14:solidFill>
          </w14:textFill>
        </w:rPr>
        <w:t>在上级党委派人谈话后，三个月内，特殊情况不超过6个月，集体讨论和表决，审批。</w:t>
      </w:r>
    </w:p>
    <w:p>
      <w:pPr>
        <w:pageBreakBefore w:val="0"/>
        <w:kinsoku/>
        <w:wordWrap/>
        <w:overflowPunct/>
        <w:topLinePunct w:val="0"/>
        <w:autoSpaceDE/>
        <w:autoSpaceDN/>
        <w:bidi w:val="0"/>
        <w:adjustRightInd/>
        <w:snapToGrid/>
        <w:spacing w:line="560" w:lineRule="exact"/>
        <w:ind w:firstLine="643"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18.再上一级党委组织部门备案。</w:t>
      </w:r>
      <w:r>
        <w:rPr>
          <w:rFonts w:hint="eastAsia" w:ascii="仿宋" w:hAnsi="仿宋" w:eastAsia="仿宋" w:cs="仿宋"/>
          <w:color w:val="000000" w:themeColor="text1"/>
          <w:sz w:val="32"/>
          <w:szCs w:val="32"/>
          <w14:textFill>
            <w14:solidFill>
              <w14:schemeClr w14:val="tx1"/>
            </w14:solidFill>
          </w14:textFill>
        </w:rPr>
        <w:t>学院党员发展审批后报南昌大学党委组织部备案。</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六、预备党员的教育考察和转正</w:t>
      </w:r>
    </w:p>
    <w:p>
      <w:pPr>
        <w:pageBreakBefore w:val="0"/>
        <w:kinsoku/>
        <w:wordWrap/>
        <w:overflowPunct/>
        <w:topLinePunct w:val="0"/>
        <w:autoSpaceDE/>
        <w:autoSpaceDN/>
        <w:bidi w:val="0"/>
        <w:adjustRightInd/>
        <w:snapToGrid/>
        <w:spacing w:line="560" w:lineRule="exact"/>
        <w:ind w:firstLine="643"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19.编入党支部。</w:t>
      </w:r>
      <w:r>
        <w:rPr>
          <w:rFonts w:hint="eastAsia" w:ascii="仿宋" w:hAnsi="仿宋" w:eastAsia="仿宋" w:cs="仿宋"/>
          <w:color w:val="000000" w:themeColor="text1"/>
          <w:sz w:val="32"/>
          <w:szCs w:val="32"/>
          <w14:textFill>
            <w14:solidFill>
              <w14:schemeClr w14:val="tx1"/>
            </w14:solidFill>
          </w14:textFill>
        </w:rPr>
        <w:t>对于新发展的党员要及时编入党支部继续教育和考察。</w:t>
      </w:r>
    </w:p>
    <w:p>
      <w:pPr>
        <w:pageBreakBefore w:val="0"/>
        <w:kinsoku/>
        <w:wordWrap/>
        <w:overflowPunct/>
        <w:topLinePunct w:val="0"/>
        <w:autoSpaceDE/>
        <w:autoSpaceDN/>
        <w:bidi w:val="0"/>
        <w:adjustRightInd/>
        <w:snapToGrid/>
        <w:spacing w:line="560" w:lineRule="exact"/>
        <w:ind w:firstLine="643"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20.入党宣誓。</w:t>
      </w:r>
      <w:r>
        <w:rPr>
          <w:rFonts w:hint="eastAsia" w:ascii="仿宋" w:hAnsi="仿宋" w:eastAsia="仿宋" w:cs="仿宋"/>
          <w:b w:val="0"/>
          <w:bCs w:val="0"/>
          <w:color w:val="000000" w:themeColor="text1"/>
          <w:sz w:val="32"/>
          <w:szCs w:val="32"/>
          <w14:textFill>
            <w14:solidFill>
              <w14:schemeClr w14:val="tx1"/>
            </w14:solidFill>
          </w14:textFill>
        </w:rPr>
        <w:t>程序</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（1）奏《国际歌》</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（2）党组织负责同志致辞；（3）预备党员宣誓；（4）参加宣誓的预备党员代表发言；（5）党组织负责同志讲话，提出要求。</w:t>
      </w:r>
    </w:p>
    <w:p>
      <w:pPr>
        <w:pageBreakBefore w:val="0"/>
        <w:kinsoku/>
        <w:wordWrap/>
        <w:overflowPunct/>
        <w:topLinePunct w:val="0"/>
        <w:autoSpaceDE/>
        <w:autoSpaceDN/>
        <w:bidi w:val="0"/>
        <w:adjustRightInd/>
        <w:snapToGrid/>
        <w:spacing w:line="560" w:lineRule="exact"/>
        <w:ind w:firstLine="643"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21.继续教育考察。</w:t>
      </w:r>
      <w:r>
        <w:rPr>
          <w:rFonts w:hint="eastAsia" w:ascii="仿宋" w:hAnsi="仿宋" w:eastAsia="仿宋" w:cs="仿宋"/>
          <w:color w:val="000000" w:themeColor="text1"/>
          <w:sz w:val="32"/>
          <w:szCs w:val="32"/>
          <w14:textFill>
            <w14:solidFill>
              <w14:schemeClr w14:val="tx1"/>
            </w14:solidFill>
          </w14:textFill>
        </w:rPr>
        <w:t>预备党员在预备期内要积极参加党组织生活，至少参加4次公益性社会志愿服务等实践锻炼，党组织要经常和预备党员谈心、听其汇报。</w:t>
      </w:r>
    </w:p>
    <w:p>
      <w:pPr>
        <w:pageBreakBefore w:val="0"/>
        <w:kinsoku/>
        <w:wordWrap/>
        <w:overflowPunct/>
        <w:topLinePunct w:val="0"/>
        <w:autoSpaceDE/>
        <w:autoSpaceDN/>
        <w:bidi w:val="0"/>
        <w:adjustRightInd/>
        <w:snapToGrid/>
        <w:spacing w:line="560" w:lineRule="exact"/>
        <w:ind w:firstLine="643"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22.提出转正申请。</w:t>
      </w:r>
      <w:r>
        <w:rPr>
          <w:rFonts w:hint="eastAsia" w:ascii="仿宋" w:hAnsi="仿宋" w:eastAsia="仿宋" w:cs="仿宋"/>
          <w:color w:val="000000" w:themeColor="text1"/>
          <w:sz w:val="32"/>
          <w:szCs w:val="32"/>
          <w14:textFill>
            <w14:solidFill>
              <w14:schemeClr w14:val="tx1"/>
            </w14:solidFill>
          </w14:textFill>
        </w:rPr>
        <w:t>在预备期满后，预备党员要以书面形式主动向党组织提出转正申请。</w:t>
      </w:r>
    </w:p>
    <w:p>
      <w:pPr>
        <w:pageBreakBefore w:val="0"/>
        <w:kinsoku/>
        <w:wordWrap/>
        <w:overflowPunct/>
        <w:topLinePunct w:val="0"/>
        <w:autoSpaceDE/>
        <w:autoSpaceDN/>
        <w:bidi w:val="0"/>
        <w:adjustRightInd/>
        <w:snapToGrid/>
        <w:spacing w:line="560" w:lineRule="exact"/>
        <w:ind w:firstLine="643"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23.支部大会讨论。</w:t>
      </w:r>
      <w:r>
        <w:rPr>
          <w:rFonts w:hint="eastAsia" w:ascii="仿宋" w:hAnsi="仿宋" w:eastAsia="仿宋" w:cs="仿宋"/>
          <w:color w:val="000000" w:themeColor="text1"/>
          <w:sz w:val="32"/>
          <w:szCs w:val="32"/>
          <w14:textFill>
            <w14:solidFill>
              <w14:schemeClr w14:val="tx1"/>
            </w14:solidFill>
          </w14:textFill>
        </w:rPr>
        <w:t>在预备党员提出转正申请后，党支部征求党员和群众意见（召开座谈会并有记录），形成转正综合政审材料。支部委员会审查（大会程序参照接收预备党员程序），如果预备党员在预备期内认真履党员义务、具备党员条件的，按期转为正式党员。要继续考察和教育的，可以延长一次预备期，延长时间不能少于半年，最长不超过一年。</w:t>
      </w:r>
    </w:p>
    <w:p>
      <w:pPr>
        <w:pageBreakBefore w:val="0"/>
        <w:kinsoku/>
        <w:wordWrap/>
        <w:overflowPunct/>
        <w:topLinePunct w:val="0"/>
        <w:autoSpaceDE/>
        <w:autoSpaceDN/>
        <w:bidi w:val="0"/>
        <w:adjustRightInd/>
        <w:snapToGrid/>
        <w:spacing w:line="560" w:lineRule="exact"/>
        <w:ind w:firstLine="643"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24.上级党委审批。</w:t>
      </w:r>
      <w:r>
        <w:rPr>
          <w:rFonts w:hint="eastAsia" w:ascii="仿宋" w:hAnsi="仿宋" w:eastAsia="仿宋" w:cs="仿宋"/>
          <w:color w:val="000000" w:themeColor="text1"/>
          <w:sz w:val="32"/>
          <w:szCs w:val="32"/>
          <w14:textFill>
            <w14:solidFill>
              <w14:schemeClr w14:val="tx1"/>
            </w14:solidFill>
          </w14:textFill>
        </w:rPr>
        <w:t>支部大会讨论后，在三个月之内，上级党委审批，并将结果及时通知党支部，党支部书记应当同本人谈话，并将审批结果在党员大会上宣布。</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报送党委审查的材料有：</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(1)入党申请书;</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(2)与入党申请人的谈话记录；</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(3)无宗教信仰承诺书；</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(4)个人自传；</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(5)优秀团员入党推荐表；</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(6)拟列为入党积极分子公示情况登记表；</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(7)入党积极分子备案登记表；</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(8)入党积极分子考察登记表；</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(9)思想汇报；</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(10)学院分党校入党积极分子培训班考试成绩登记表；</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(11)支部召开群众座谈会的发言记录；</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(12)拟列为发展对象公示情况登记表；</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(13)有关政审材料、外(函)调材料；</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(14)学院分党校发展对象培训班考</w:t>
      </w:r>
      <w:r>
        <w:rPr>
          <w:rFonts w:hint="eastAsia" w:ascii="仿宋" w:hAnsi="仿宋" w:eastAsia="仿宋" w:cs="仿宋"/>
          <w:sz w:val="32"/>
          <w:szCs w:val="32"/>
        </w:rPr>
        <w:t>试成绩登记表；</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(15)入党综合政审材料；</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(16)各科学习成绩单；</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(17)大学生党建与思想政治教育工作站发展对象楼栋表现登记表；</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(18)入党志愿书；</w:t>
      </w:r>
      <w:r>
        <w:rPr>
          <w:rFonts w:ascii="仿宋" w:hAnsi="仿宋" w:eastAsia="仿宋" w:cs="仿宋"/>
          <w:color w:val="000000" w:themeColor="text1"/>
          <w:sz w:val="32"/>
          <w:szCs w:val="32"/>
          <w14:textFill>
            <w14:solidFill>
              <w14:schemeClr w14:val="tx1"/>
            </w14:solidFill>
          </w14:textFill>
        </w:rPr>
        <w:t xml:space="preserve"> </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(19)思想汇报；</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(20)预备党员考察登记表；</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(21)转正申请书；</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转正综合政审材料；</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23)</w:t>
      </w:r>
      <w:r>
        <w:rPr>
          <w:rFonts w:hint="eastAsia" w:ascii="仿宋" w:hAnsi="仿宋" w:eastAsia="仿宋" w:cs="仿宋"/>
          <w:color w:val="000000" w:themeColor="text1"/>
          <w:sz w:val="32"/>
          <w:szCs w:val="32"/>
          <w14:textFill>
            <w14:solidFill>
              <w14:schemeClr w14:val="tx1"/>
            </w14:solidFill>
          </w14:textFill>
        </w:rPr>
        <w:t>转正群众座谈材料；</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ascii="仿宋" w:hAnsi="仿宋" w:eastAsia="仿宋" w:cs="仿宋"/>
          <w:color w:val="000000" w:themeColor="text1"/>
          <w:sz w:val="32"/>
          <w:szCs w:val="32"/>
          <w14:textFill>
            <w14:solidFill>
              <w14:schemeClr w14:val="tx1"/>
            </w14:solidFill>
          </w14:textFill>
        </w:rPr>
        <w:t>24)</w:t>
      </w:r>
      <w:r>
        <w:rPr>
          <w:rFonts w:hint="eastAsia" w:ascii="仿宋" w:hAnsi="仿宋" w:eastAsia="仿宋" w:cs="仿宋"/>
          <w:color w:val="000000" w:themeColor="text1"/>
          <w:sz w:val="32"/>
          <w:szCs w:val="32"/>
          <w14:textFill>
            <w14:solidFill>
              <w14:schemeClr w14:val="tx1"/>
            </w14:solidFill>
          </w14:textFill>
        </w:rPr>
        <w:t>大学生党建与思想政治教育工作站预备党员楼栋表现登记表。</w:t>
      </w:r>
    </w:p>
    <w:p>
      <w:pPr>
        <w:pageBreakBefore w:val="0"/>
        <w:kinsoku/>
        <w:wordWrap/>
        <w:overflowPunct/>
        <w:topLinePunct w:val="0"/>
        <w:autoSpaceDE/>
        <w:autoSpaceDN/>
        <w:bidi w:val="0"/>
        <w:adjustRightInd/>
        <w:snapToGrid/>
        <w:spacing w:line="560" w:lineRule="exact"/>
        <w:ind w:firstLine="643"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25.材料归档。</w:t>
      </w:r>
      <w:r>
        <w:rPr>
          <w:rFonts w:hint="eastAsia" w:ascii="仿宋" w:hAnsi="仿宋" w:eastAsia="仿宋" w:cs="仿宋"/>
          <w:color w:val="000000" w:themeColor="text1"/>
          <w:sz w:val="32"/>
          <w:szCs w:val="32"/>
          <w14:textFill>
            <w14:solidFill>
              <w14:schemeClr w14:val="tx1"/>
            </w14:solidFill>
          </w14:textFill>
        </w:rPr>
        <w:t>建立本人党员档案。</w:t>
      </w:r>
    </w:p>
    <w:p>
      <w:pPr>
        <w:pageBreakBefore w:val="0"/>
        <w:kinsoku/>
        <w:wordWrap/>
        <w:overflowPunct/>
        <w:topLinePunct w:val="0"/>
        <w:autoSpaceDE/>
        <w:autoSpaceDN/>
        <w:bidi w:val="0"/>
        <w:adjustRightInd/>
        <w:snapToGrid/>
        <w:spacing w:line="560" w:lineRule="exact"/>
        <w:ind w:firstLine="643" w:firstLineChars="200"/>
        <w:jc w:val="both"/>
        <w:textAlignment w:val="auto"/>
        <w:rPr>
          <w:rFonts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26.严格</w:t>
      </w:r>
      <w:r>
        <w:rPr>
          <w:rFonts w:ascii="楷体" w:hAnsi="楷体" w:eastAsia="楷体" w:cs="楷体"/>
          <w:b/>
          <w:bCs/>
          <w:color w:val="000000" w:themeColor="text1"/>
          <w:sz w:val="32"/>
          <w:szCs w:val="32"/>
          <w14:textFill>
            <w14:solidFill>
              <w14:schemeClr w14:val="tx1"/>
            </w14:solidFill>
          </w14:textFill>
        </w:rPr>
        <w:t>党员发展标准</w:t>
      </w:r>
      <w:r>
        <w:rPr>
          <w:rFonts w:hint="eastAsia" w:ascii="楷体" w:hAnsi="楷体" w:eastAsia="楷体" w:cs="楷体"/>
          <w:b/>
          <w:bCs/>
          <w:color w:val="000000" w:themeColor="text1"/>
          <w:sz w:val="32"/>
          <w:szCs w:val="32"/>
          <w14:textFill>
            <w14:solidFill>
              <w14:schemeClr w14:val="tx1"/>
            </w14:solidFill>
          </w14:textFill>
        </w:rPr>
        <w:t>的其他要求。</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始终把政治标准放在首位。严格按照党章规定的党员标准发展党员，突出先进性，重点看发展对象是否具有共产主义信仰和中国特色社会主义信念，坚定走中国特色社会主义道路，立志为实现中华民族伟大复兴的中国梦而奋斗；是否对党的基本知识和党的历史有一定的认识，遵守党的组织制度和组织原则，始终与党中央保持一致；是否懂得党员义务和权利，遵守党的各项纪律，以党员标准严格要求自己；是否心系群众，服务同学，团结协作，热心公益，受到广大师生认可；是否能自觉践行社会主义核心价值观，在日常学习工作生活中发挥先锋模范作用。</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全面深入进行考察。把综合素质作为发展学生党员的重要考察内容，从思想政治、能力素质、道德品行、现实表现等方面全面考察发展对象。既要看思想认识，更要看实际行动；既要看学习成绩，更要看学习态度；既要看自我评价，更要看群众评议；既要看个人表现，更要看参加集体活动、公益活动和完成党组织交给任务的情况。要把一贯表现和关键时刻表现相结合，注重考察发展对象的社会责任感。</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（3）学生符合以下条件者优先发展。</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①端正学习态度，明确学习目的，树立正确的专业思想，热爱学习，有强烈的进取心和责任感，学习成绩良好。</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②具备良好的个人素质和道德修养，自觉遵守党的纪律、国家法律法规和学院各项规章制度，在班级、寝室中发挥模范带头作用。</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③积极参加校内外的各项文体及志愿服务活动，在学生管理部门担任一定职务，或参加校内外科技竞赛并在参赛中获奖，有一定管理能力和实践水平，具备主人翁意识和奉献精神。</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④在学院管理、服务和学院建设等方面做出一定贡献，能较好的改变学院原来面貌，调动师生的积极性，形成良好的教风、学风和校风，各项工作有显著起色。</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⑤在其他方面（如见义勇为等）做出突出贡献。</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（4）受</w:t>
      </w:r>
      <w:r>
        <w:rPr>
          <w:rFonts w:ascii="仿宋" w:hAnsi="仿宋" w:eastAsia="仿宋" w:cs="仿宋"/>
          <w:color w:val="000000" w:themeColor="text1"/>
          <w:sz w:val="32"/>
          <w:szCs w:val="32"/>
          <w14:textFill>
            <w14:solidFill>
              <w14:schemeClr w14:val="tx1"/>
            </w14:solidFill>
          </w14:textFill>
        </w:rPr>
        <w:t>校规校纪处分的</w:t>
      </w:r>
      <w:r>
        <w:rPr>
          <w:rFonts w:hint="eastAsia" w:ascii="仿宋" w:hAnsi="仿宋" w:eastAsia="仿宋" w:cs="仿宋"/>
          <w:color w:val="000000" w:themeColor="text1"/>
          <w:sz w:val="32"/>
          <w:szCs w:val="32"/>
          <w14:textFill>
            <w14:solidFill>
              <w14:schemeClr w14:val="tx1"/>
            </w14:solidFill>
          </w14:textFill>
        </w:rPr>
        <w:t>原则上</w:t>
      </w:r>
      <w:r>
        <w:rPr>
          <w:rFonts w:ascii="仿宋" w:hAnsi="仿宋" w:eastAsia="仿宋" w:cs="仿宋"/>
          <w:color w:val="000000" w:themeColor="text1"/>
          <w:sz w:val="32"/>
          <w:szCs w:val="32"/>
          <w14:textFill>
            <w14:solidFill>
              <w14:schemeClr w14:val="tx1"/>
            </w14:solidFill>
          </w14:textFill>
        </w:rPr>
        <w:t>不予以发展。</w:t>
      </w:r>
      <w:r>
        <w:rPr>
          <w:rFonts w:hint="eastAsia" w:ascii="仿宋" w:hAnsi="仿宋" w:eastAsia="仿宋" w:cs="仿宋"/>
          <w:color w:val="000000" w:themeColor="text1"/>
          <w:sz w:val="32"/>
          <w:szCs w:val="32"/>
          <w14:textFill>
            <w14:solidFill>
              <w14:schemeClr w14:val="tx1"/>
            </w14:solidFill>
          </w14:textFill>
        </w:rPr>
        <w:t>违纪的信息来源：组织人事处、教务处、学工处、团委、保卫处等职能部门和系党总支。</w:t>
      </w:r>
    </w:p>
    <w:tbl>
      <w:tblPr>
        <w:tblStyle w:val="11"/>
        <w:tblpPr w:leftFromText="180" w:rightFromText="180" w:vertAnchor="text" w:horzAnchor="page" w:tblpX="1307" w:tblpY="2899"/>
        <w:tblOverlap w:val="never"/>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8" w:type="dxa"/>
            <w:tcBorders>
              <w:top w:val="single" w:color="auto" w:sz="4" w:space="0"/>
              <w:left w:val="nil"/>
              <w:bottom w:val="single" w:color="auto" w:sz="4" w:space="0"/>
              <w:right w:val="nil"/>
            </w:tcBorders>
            <w:vAlign w:val="center"/>
          </w:tcPr>
          <w:p>
            <w:pPr>
              <w:pageBreakBefore w:val="0"/>
              <w:kinsoku/>
              <w:wordWrap/>
              <w:overflowPunct/>
              <w:topLinePunct w:val="0"/>
              <w:autoSpaceDE/>
              <w:autoSpaceDN/>
              <w:bidi w:val="0"/>
              <w:adjustRightInd/>
              <w:snapToGrid/>
              <w:spacing w:line="560" w:lineRule="exact"/>
              <w:ind w:firstLine="160" w:firstLineChars="50"/>
              <w:jc w:val="both"/>
              <w:textAlignment w:val="auto"/>
              <w:rPr>
                <w:rFonts w:ascii="仿宋" w:hAnsi="仿宋" w:eastAsia="仿宋"/>
                <w:szCs w:val="32"/>
              </w:rPr>
            </w:pPr>
            <w:r>
              <w:rPr>
                <w:rFonts w:hint="eastAsia" w:ascii="仿宋" w:hAnsi="仿宋" w:eastAsia="仿宋"/>
                <w:szCs w:val="32"/>
              </w:rPr>
              <w:t>中共南昌大学共青学院委员会办公室</w:t>
            </w:r>
            <w:r>
              <w:rPr>
                <w:rFonts w:ascii="仿宋" w:hAnsi="仿宋" w:eastAsia="仿宋"/>
                <w:szCs w:val="32"/>
              </w:rPr>
              <w:t xml:space="preserve">   201</w:t>
            </w:r>
            <w:r>
              <w:rPr>
                <w:rFonts w:hint="eastAsia" w:ascii="仿宋" w:hAnsi="仿宋" w:eastAsia="仿宋"/>
                <w:szCs w:val="32"/>
              </w:rPr>
              <w:t>9年</w:t>
            </w:r>
            <w:r>
              <w:rPr>
                <w:rFonts w:hint="eastAsia" w:ascii="仿宋" w:hAnsi="仿宋" w:eastAsia="仿宋"/>
                <w:szCs w:val="32"/>
                <w:lang w:val="en-US" w:eastAsia="zh-CN"/>
              </w:rPr>
              <w:t>11</w:t>
            </w:r>
            <w:r>
              <w:rPr>
                <w:rFonts w:hint="eastAsia" w:ascii="仿宋" w:hAnsi="仿宋" w:eastAsia="仿宋"/>
                <w:szCs w:val="32"/>
              </w:rPr>
              <w:t>月</w:t>
            </w:r>
            <w:r>
              <w:rPr>
                <w:rFonts w:hint="eastAsia" w:ascii="仿宋" w:hAnsi="仿宋" w:eastAsia="仿宋"/>
                <w:szCs w:val="32"/>
                <w:lang w:val="en-US" w:eastAsia="zh-CN"/>
              </w:rPr>
              <w:t>8</w:t>
            </w:r>
            <w:r>
              <w:rPr>
                <w:rFonts w:hint="eastAsia" w:ascii="仿宋" w:hAnsi="仿宋" w:eastAsia="仿宋"/>
                <w:szCs w:val="32"/>
              </w:rPr>
              <w:t>日印发</w:t>
            </w:r>
          </w:p>
        </w:tc>
      </w:tr>
    </w:tbl>
    <w:p>
      <w:pPr>
        <w:pageBreakBefore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本工作程序自2</w:t>
      </w:r>
      <w:r>
        <w:rPr>
          <w:rFonts w:ascii="仿宋" w:hAnsi="仿宋" w:eastAsia="仿宋" w:cs="仿宋"/>
          <w:color w:val="000000" w:themeColor="text1"/>
          <w:sz w:val="32"/>
          <w:szCs w:val="32"/>
          <w14:textFill>
            <w14:solidFill>
              <w14:schemeClr w14:val="tx1"/>
            </w14:solidFill>
          </w14:textFill>
        </w:rPr>
        <w:t>019</w:t>
      </w:r>
      <w:r>
        <w:rPr>
          <w:rFonts w:hint="eastAsia" w:ascii="仿宋" w:hAnsi="仿宋" w:eastAsia="仿宋" w:cs="仿宋"/>
          <w:color w:val="000000" w:themeColor="text1"/>
          <w:sz w:val="32"/>
          <w:szCs w:val="32"/>
          <w14:textFill>
            <w14:solidFill>
              <w14:schemeClr w14:val="tx1"/>
            </w14:solidFill>
          </w14:textFill>
        </w:rPr>
        <w:t>年</w:t>
      </w:r>
      <w:r>
        <w:rPr>
          <w:rFonts w:ascii="仿宋" w:hAnsi="仿宋" w:eastAsia="仿宋" w:cs="仿宋"/>
          <w:color w:val="000000" w:themeColor="text1"/>
          <w:sz w:val="32"/>
          <w:szCs w:val="32"/>
          <w14:textFill>
            <w14:solidFill>
              <w14:schemeClr w14:val="tx1"/>
            </w14:solidFill>
          </w14:textFill>
        </w:rPr>
        <w:t>11</w:t>
      </w:r>
      <w:r>
        <w:rPr>
          <w:rFonts w:hint="eastAsia" w:ascii="仿宋" w:hAnsi="仿宋" w:eastAsia="仿宋" w:cs="仿宋"/>
          <w:color w:val="000000" w:themeColor="text1"/>
          <w:sz w:val="32"/>
          <w:szCs w:val="32"/>
          <w14:textFill>
            <w14:solidFill>
              <w14:schemeClr w14:val="tx1"/>
            </w14:solidFill>
          </w14:textFill>
        </w:rPr>
        <w:t>月</w:t>
      </w:r>
      <w:r>
        <w:rPr>
          <w:rFonts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日起施行，由学院组织人事处、分党校负责解释。原《南昌大学共青学院党员发展工作操作程序（修订）》（共院党发[2</w:t>
      </w:r>
      <w:r>
        <w:rPr>
          <w:rFonts w:ascii="仿宋" w:hAnsi="仿宋" w:eastAsia="仿宋" w:cs="仿宋"/>
          <w:color w:val="000000" w:themeColor="text1"/>
          <w:sz w:val="32"/>
          <w:szCs w:val="32"/>
          <w14:textFill>
            <w14:solidFill>
              <w14:schemeClr w14:val="tx1"/>
            </w14:solidFill>
          </w14:textFill>
        </w:rPr>
        <w:t>018]23</w:t>
      </w:r>
      <w:r>
        <w:rPr>
          <w:rFonts w:hint="eastAsia" w:ascii="仿宋" w:hAnsi="仿宋" w:eastAsia="仿宋" w:cs="仿宋"/>
          <w:color w:val="000000" w:themeColor="text1"/>
          <w:sz w:val="32"/>
          <w:szCs w:val="32"/>
          <w14:textFill>
            <w14:solidFill>
              <w14:schemeClr w14:val="tx1"/>
            </w14:solidFill>
          </w14:textFill>
        </w:rPr>
        <w:t>号）文件同时废止。</w:t>
      </w:r>
    </w:p>
    <w:p>
      <w:pPr>
        <w:pageBreakBefore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color w:val="000000" w:themeColor="text1"/>
          <w:sz w:val="32"/>
          <w:szCs w:val="32"/>
          <w14:textFill>
            <w14:solidFill>
              <w14:schemeClr w14:val="tx1"/>
            </w14:solidFill>
          </w14:textFill>
        </w:rPr>
      </w:pPr>
    </w:p>
    <w:p>
      <w:pPr>
        <w:pageBreakBefore w:val="0"/>
        <w:kinsoku/>
        <w:wordWrap/>
        <w:overflowPunct/>
        <w:topLinePunct w:val="0"/>
        <w:autoSpaceDE/>
        <w:autoSpaceDN/>
        <w:bidi w:val="0"/>
        <w:adjustRightInd/>
        <w:snapToGrid/>
        <w:spacing w:line="560" w:lineRule="exact"/>
        <w:jc w:val="both"/>
        <w:textAlignment w:val="auto"/>
      </w:pPr>
    </w:p>
    <w:sectPr>
      <w:footerReference r:id="rId3" w:type="default"/>
      <w:pgSz w:w="11906" w:h="16838"/>
      <w:pgMar w:top="1134" w:right="1440" w:bottom="1134" w:left="144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224372925"/>
                            <w:docPartObj>
                              <w:docPartGallery w:val="autotext"/>
                            </w:docPartObj>
                          </w:sdtPr>
                          <w:sdtContent>
                            <w:p>
                              <w:pPr>
                                <w:pStyle w:val="7"/>
                                <w:jc w:val="center"/>
                              </w:pPr>
                              <w:r>
                                <w:fldChar w:fldCharType="begin"/>
                              </w:r>
                              <w:r>
                                <w:instrText xml:space="preserve">PAGE   \* MERGEFORMAT</w:instrText>
                              </w:r>
                              <w:r>
                                <w:fldChar w:fldCharType="separate"/>
                              </w:r>
                              <w:r>
                                <w:rPr>
                                  <w:lang w:val="zh-CN"/>
                                </w:rPr>
                                <w:t>1</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dF6DCAgAA1gUAAA4AAABkcnMvZTJvRG9jLnhtbK1UzY7TMBC+I/EO&#10;lu/ZJN20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enw8hfOGjAORfOFrIAH3up68yHcTS+Sq/SJEgGo6sgifI8mBXzJBgV8dkw&#10;P83n8zz+6PzFyaRuypIJF6+fkjj5sy7s57Xr72FOjORN6dy5lIxeLedcow2BKS385xCG5B+YhY/T&#10;8Gqo6klJ8SCJLgfjoBilZ0FSJMNgfBalQRSPL8ej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kR0XoMICAADWBQAADgAAAAAA&#10;AAABACAAAAAfAQAAZHJzL2Uyb0RvYy54bWxQSwUGAAAAAAYABgBZAQAAUwYAAAAA&#10;">
              <v:fill on="f" focussize="0,0"/>
              <v:stroke on="f" weight="0.5pt"/>
              <v:imagedata o:title=""/>
              <o:lock v:ext="edit" aspectratio="f"/>
              <v:textbox inset="0mm,0mm,0mm,0mm" style="mso-fit-shape-to-text:t;">
                <w:txbxContent>
                  <w:sdt>
                    <w:sdtPr>
                      <w:id w:val="-224372925"/>
                      <w:docPartObj>
                        <w:docPartGallery w:val="autotext"/>
                      </w:docPartObj>
                    </w:sdtPr>
                    <w:sdtContent>
                      <w:p>
                        <w:pPr>
                          <w:pStyle w:val="7"/>
                          <w:jc w:val="center"/>
                        </w:pPr>
                        <w:r>
                          <w:fldChar w:fldCharType="begin"/>
                        </w:r>
                        <w:r>
                          <w:instrText xml:space="preserve">PAGE   \* MERGEFORMAT</w:instrText>
                        </w:r>
                        <w:r>
                          <w:fldChar w:fldCharType="separate"/>
                        </w:r>
                        <w:r>
                          <w:rPr>
                            <w:lang w:val="zh-CN"/>
                          </w:rPr>
                          <w:t>1</w:t>
                        </w:r>
                        <w:r>
                          <w:fldChar w:fldCharType="end"/>
                        </w:r>
                      </w:p>
                    </w:sdtContent>
                  </w:sdt>
                  <w:p/>
                </w:txbxContent>
              </v:textbox>
            </v:shape>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670"/>
    <w:rsid w:val="00327429"/>
    <w:rsid w:val="003876E8"/>
    <w:rsid w:val="004A0EAB"/>
    <w:rsid w:val="004D0850"/>
    <w:rsid w:val="00527670"/>
    <w:rsid w:val="005744FE"/>
    <w:rsid w:val="005C2528"/>
    <w:rsid w:val="005E505E"/>
    <w:rsid w:val="005E6D77"/>
    <w:rsid w:val="006012B1"/>
    <w:rsid w:val="00784AEA"/>
    <w:rsid w:val="007D573E"/>
    <w:rsid w:val="008A5C37"/>
    <w:rsid w:val="009B57C0"/>
    <w:rsid w:val="009D0123"/>
    <w:rsid w:val="009E0591"/>
    <w:rsid w:val="00A051BD"/>
    <w:rsid w:val="00AB0E50"/>
    <w:rsid w:val="00AD7716"/>
    <w:rsid w:val="00B51459"/>
    <w:rsid w:val="00BD23A6"/>
    <w:rsid w:val="00C3145A"/>
    <w:rsid w:val="00CE3699"/>
    <w:rsid w:val="00D958C0"/>
    <w:rsid w:val="00E66872"/>
    <w:rsid w:val="00FA0105"/>
    <w:rsid w:val="029B70CC"/>
    <w:rsid w:val="042D6521"/>
    <w:rsid w:val="04556103"/>
    <w:rsid w:val="05F630A9"/>
    <w:rsid w:val="069239E9"/>
    <w:rsid w:val="0772453A"/>
    <w:rsid w:val="07AF3705"/>
    <w:rsid w:val="07FD0C4C"/>
    <w:rsid w:val="0A7F1FBD"/>
    <w:rsid w:val="0C523607"/>
    <w:rsid w:val="0C996FC5"/>
    <w:rsid w:val="0DCF5532"/>
    <w:rsid w:val="0F315C81"/>
    <w:rsid w:val="15E45FBD"/>
    <w:rsid w:val="165D2E93"/>
    <w:rsid w:val="186E2A65"/>
    <w:rsid w:val="1A1F336E"/>
    <w:rsid w:val="1AFC1897"/>
    <w:rsid w:val="1D4B2F95"/>
    <w:rsid w:val="1EA00513"/>
    <w:rsid w:val="20DE6D55"/>
    <w:rsid w:val="2145147E"/>
    <w:rsid w:val="22DA21AD"/>
    <w:rsid w:val="236349A9"/>
    <w:rsid w:val="23964872"/>
    <w:rsid w:val="23B10B44"/>
    <w:rsid w:val="27692D95"/>
    <w:rsid w:val="297108B5"/>
    <w:rsid w:val="29837742"/>
    <w:rsid w:val="2A233DDD"/>
    <w:rsid w:val="2BB54E3C"/>
    <w:rsid w:val="2F45568B"/>
    <w:rsid w:val="301C6C9C"/>
    <w:rsid w:val="31156010"/>
    <w:rsid w:val="312E56D7"/>
    <w:rsid w:val="345A1057"/>
    <w:rsid w:val="362614A2"/>
    <w:rsid w:val="36CA2F9E"/>
    <w:rsid w:val="3A337991"/>
    <w:rsid w:val="3AAD0B49"/>
    <w:rsid w:val="3BA76E65"/>
    <w:rsid w:val="3BC3138F"/>
    <w:rsid w:val="3DAC3406"/>
    <w:rsid w:val="3F9D3DBE"/>
    <w:rsid w:val="408C7CB6"/>
    <w:rsid w:val="42E40299"/>
    <w:rsid w:val="4615755F"/>
    <w:rsid w:val="477F250A"/>
    <w:rsid w:val="48F423C6"/>
    <w:rsid w:val="4A152BAD"/>
    <w:rsid w:val="4AB761F6"/>
    <w:rsid w:val="4B44283F"/>
    <w:rsid w:val="4F1957B1"/>
    <w:rsid w:val="4F7C0A51"/>
    <w:rsid w:val="50B95F13"/>
    <w:rsid w:val="50F906E0"/>
    <w:rsid w:val="515F08A8"/>
    <w:rsid w:val="52377545"/>
    <w:rsid w:val="545B5B3B"/>
    <w:rsid w:val="5A1F6CDE"/>
    <w:rsid w:val="5C094E8D"/>
    <w:rsid w:val="5EC71E3D"/>
    <w:rsid w:val="603D1BFE"/>
    <w:rsid w:val="634F3F15"/>
    <w:rsid w:val="664D3607"/>
    <w:rsid w:val="673E22B5"/>
    <w:rsid w:val="688C11CE"/>
    <w:rsid w:val="68B96255"/>
    <w:rsid w:val="6AA52904"/>
    <w:rsid w:val="6AE54374"/>
    <w:rsid w:val="6C14703A"/>
    <w:rsid w:val="6DAF0237"/>
    <w:rsid w:val="6DDC4F3D"/>
    <w:rsid w:val="6E142C91"/>
    <w:rsid w:val="6F271526"/>
    <w:rsid w:val="6F36703E"/>
    <w:rsid w:val="71EB6039"/>
    <w:rsid w:val="74947AF1"/>
    <w:rsid w:val="7B6A42F8"/>
    <w:rsid w:val="7BB15DA6"/>
    <w:rsid w:val="7C58135C"/>
    <w:rsid w:val="7D731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napToGrid w:val="0"/>
      <w:kern w:val="0"/>
      <w:sz w:val="32"/>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13"/>
    <w:qFormat/>
    <w:uiPriority w:val="0"/>
    <w:pPr>
      <w:spacing w:after="120"/>
    </w:pPr>
    <w:rPr>
      <w:snapToGrid/>
      <w:kern w:val="2"/>
      <w:sz w:val="21"/>
    </w:rPr>
  </w:style>
  <w:style w:type="paragraph" w:styleId="5">
    <w:name w:val="Date"/>
    <w:basedOn w:val="1"/>
    <w:next w:val="1"/>
    <w:link w:val="22"/>
    <w:semiHidden/>
    <w:unhideWhenUsed/>
    <w:qFormat/>
    <w:uiPriority w:val="99"/>
    <w:pPr>
      <w:ind w:left="100" w:leftChars="2500"/>
    </w:pPr>
  </w:style>
  <w:style w:type="paragraph" w:styleId="6">
    <w:name w:val="Balloon Text"/>
    <w:basedOn w:val="1"/>
    <w:link w:val="23"/>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snapToGrid/>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正文文本 Char"/>
    <w:basedOn w:val="10"/>
    <w:link w:val="4"/>
    <w:qFormat/>
    <w:uiPriority w:val="0"/>
    <w:rPr>
      <w:rFonts w:ascii="Times New Roman" w:hAnsi="Times New Roman" w:eastAsia="宋体" w:cs="Times New Roman"/>
      <w:szCs w:val="24"/>
    </w:rPr>
  </w:style>
  <w:style w:type="character" w:customStyle="1" w:styleId="14">
    <w:name w:val="页眉 Char"/>
    <w:basedOn w:val="10"/>
    <w:link w:val="8"/>
    <w:qFormat/>
    <w:uiPriority w:val="99"/>
    <w:rPr>
      <w:rFonts w:ascii="Times New Roman" w:hAnsi="Times New Roman" w:eastAsia="宋体" w:cs="Times New Roman"/>
      <w:snapToGrid w:val="0"/>
      <w:kern w:val="0"/>
      <w:sz w:val="18"/>
      <w:szCs w:val="18"/>
    </w:rPr>
  </w:style>
  <w:style w:type="character" w:customStyle="1" w:styleId="15">
    <w:name w:val="页脚 Char"/>
    <w:basedOn w:val="10"/>
    <w:link w:val="7"/>
    <w:qFormat/>
    <w:uiPriority w:val="99"/>
    <w:rPr>
      <w:rFonts w:ascii="Times New Roman" w:hAnsi="Times New Roman" w:eastAsia="宋体" w:cs="Times New Roman"/>
      <w:snapToGrid w:val="0"/>
      <w:kern w:val="0"/>
      <w:sz w:val="18"/>
      <w:szCs w:val="18"/>
    </w:rPr>
  </w:style>
  <w:style w:type="paragraph" w:customStyle="1" w:styleId="16">
    <w:name w:val="p6"/>
    <w:basedOn w:val="1"/>
    <w:qFormat/>
    <w:uiPriority w:val="0"/>
    <w:pPr>
      <w:widowControl/>
      <w:spacing w:before="100" w:beforeAutospacing="1" w:after="100" w:afterAutospacing="1"/>
      <w:jc w:val="left"/>
    </w:pPr>
    <w:rPr>
      <w:rFonts w:ascii="宋体" w:hAnsi="宋体" w:cs="宋体"/>
      <w:snapToGrid/>
      <w:sz w:val="24"/>
    </w:rPr>
  </w:style>
  <w:style w:type="character" w:customStyle="1" w:styleId="17">
    <w:name w:val="s3"/>
    <w:basedOn w:val="10"/>
    <w:qFormat/>
    <w:uiPriority w:val="0"/>
  </w:style>
  <w:style w:type="character" w:customStyle="1" w:styleId="18">
    <w:name w:val="s4"/>
    <w:basedOn w:val="10"/>
    <w:qFormat/>
    <w:uiPriority w:val="0"/>
  </w:style>
  <w:style w:type="paragraph" w:customStyle="1" w:styleId="19">
    <w:name w:val="p1"/>
    <w:basedOn w:val="1"/>
    <w:qFormat/>
    <w:uiPriority w:val="0"/>
    <w:pPr>
      <w:widowControl/>
      <w:spacing w:before="100" w:beforeAutospacing="1" w:after="100" w:afterAutospacing="1"/>
      <w:jc w:val="left"/>
    </w:pPr>
    <w:rPr>
      <w:rFonts w:ascii="宋体" w:hAnsi="宋体" w:cs="宋体"/>
      <w:snapToGrid/>
      <w:sz w:val="24"/>
    </w:rPr>
  </w:style>
  <w:style w:type="paragraph" w:customStyle="1" w:styleId="20">
    <w:name w:val="p7"/>
    <w:basedOn w:val="1"/>
    <w:qFormat/>
    <w:uiPriority w:val="0"/>
    <w:pPr>
      <w:widowControl/>
      <w:spacing w:before="100" w:beforeAutospacing="1" w:after="100" w:afterAutospacing="1"/>
      <w:jc w:val="left"/>
    </w:pPr>
    <w:rPr>
      <w:rFonts w:ascii="宋体" w:hAnsi="宋体" w:cs="宋体"/>
      <w:snapToGrid/>
      <w:sz w:val="24"/>
    </w:rPr>
  </w:style>
  <w:style w:type="paragraph" w:customStyle="1" w:styleId="21">
    <w:name w:val="p8"/>
    <w:basedOn w:val="1"/>
    <w:qFormat/>
    <w:uiPriority w:val="0"/>
    <w:pPr>
      <w:widowControl/>
      <w:spacing w:before="100" w:beforeAutospacing="1" w:after="100" w:afterAutospacing="1"/>
      <w:jc w:val="left"/>
    </w:pPr>
    <w:rPr>
      <w:rFonts w:ascii="宋体" w:hAnsi="宋体" w:cs="宋体"/>
      <w:snapToGrid/>
      <w:sz w:val="24"/>
    </w:rPr>
  </w:style>
  <w:style w:type="character" w:customStyle="1" w:styleId="22">
    <w:name w:val="日期 Char"/>
    <w:basedOn w:val="10"/>
    <w:link w:val="5"/>
    <w:semiHidden/>
    <w:qFormat/>
    <w:uiPriority w:val="99"/>
    <w:rPr>
      <w:rFonts w:ascii="Times New Roman" w:hAnsi="Times New Roman" w:eastAsia="宋体" w:cs="Times New Roman"/>
      <w:snapToGrid w:val="0"/>
      <w:kern w:val="0"/>
      <w:sz w:val="32"/>
      <w:szCs w:val="24"/>
    </w:rPr>
  </w:style>
  <w:style w:type="character" w:customStyle="1" w:styleId="23">
    <w:name w:val="批注框文本 Char"/>
    <w:basedOn w:val="10"/>
    <w:link w:val="6"/>
    <w:semiHidden/>
    <w:qFormat/>
    <w:uiPriority w:val="99"/>
    <w:rPr>
      <w:rFonts w:ascii="Times New Roman" w:hAnsi="Times New Roman" w:eastAsia="宋体" w:cs="Times New Roman"/>
      <w:snapToGrid w:val="0"/>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188</Words>
  <Characters>1072</Characters>
  <Lines>8</Lines>
  <Paragraphs>2</Paragraphs>
  <TotalTime>0</TotalTime>
  <ScaleCrop>false</ScaleCrop>
  <LinksUpToDate>false</LinksUpToDate>
  <CharactersWithSpaces>1258</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2019-04-01T06:46:00Z</dcterms:created>
  <dc:creator>ldz</dc:creator>
  <cp:lastModifiedBy>嶶笑洧孒菋檤</cp:lastModifiedBy>
  <cp:lastPrinted>2019-04-01T06:43:00Z</cp:lastPrinted>
  <dcterms:modified xsi:type="dcterms:W3CDTF">2019-11-08T08:13:56Z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